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厦门海洋职业技术学院引进人才待遇一览表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textAlignment w:val="auto"/>
        <w:rPr>
          <w:rStyle w:val="5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5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  <w:t>学院待遇</w:t>
      </w:r>
    </w:p>
    <w:tbl>
      <w:tblPr>
        <w:tblStyle w:val="3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66"/>
        <w:gridCol w:w="13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1200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textAlignment w:val="auto"/>
        <w:rPr>
          <w:rStyle w:val="5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5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  <w:t>省、市待遇</w:t>
      </w:r>
    </w:p>
    <w:tbl>
      <w:tblPr>
        <w:tblStyle w:val="3"/>
        <w:tblW w:w="8085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1800"/>
        <w:gridCol w:w="16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</w:tblPrEx>
        <w:trPr>
          <w:trHeight w:val="70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人才项目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生活津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（补）贴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住房补贴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安家补助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2000-5000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14-18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</w:tblPrEx>
        <w:trPr>
          <w:trHeight w:val="585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福建省引进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类高层次人才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25-200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</w:tblPrEx>
        <w:trPr>
          <w:trHeight w:val="990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厦门市新引进人才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博士（不超过40周岁）8万；硕士（不超过35周岁）5万；“双一流”建设高校（学科）及世界最新排名前200名大学本科（不超过30周岁）3万元；其他高校应届本科生1万。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根据政策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厦门市人才住房、厦门市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保障性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商品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1E77"/>
    <w:rsid w:val="08B86A90"/>
    <w:rsid w:val="24F7216B"/>
    <w:rsid w:val="27362843"/>
    <w:rsid w:val="54AD77C8"/>
    <w:rsid w:val="593F4F7E"/>
    <w:rsid w:val="61661E77"/>
    <w:rsid w:val="6774795C"/>
    <w:rsid w:val="7ED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2020-07-27T09:09:00Z</dcterms:created>
  <dc:creator>肖苏华</dc:creator>
  <cp:lastModifiedBy>晓晓</cp:lastModifiedBy>
  <dcterms:modified xsi:type="dcterms:W3CDTF">2021-10-26T00:53:00Z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EF0D248F7D1A4D4A88C75F5B487D37EF</vt:lpwstr>
  </property>
</Properties>
</file>