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ascii="仿宋" w:hAnsi="仿宋" w:eastAsia="仿宋"/>
        </w:rPr>
        <w:sectPr>
          <w:headerReference r:id="rId3" w:type="default"/>
          <w:footerReference r:id="rId4" w:type="default"/>
          <w:footerReference r:id="rId5" w:type="even"/>
          <w:pgSz w:w="11906" w:h="16838"/>
          <w:pgMar w:top="1531" w:right="1531" w:bottom="1134" w:left="1531" w:header="851" w:footer="992" w:gutter="0"/>
          <w:pgNumType w:fmt="numberInDash"/>
          <w:cols w:space="720" w:num="1"/>
          <w:docGrid w:linePitch="312" w:charSpace="0"/>
        </w:sectPr>
      </w:pPr>
      <w:bookmarkStart w:id="0" w:name="_GoBack"/>
      <w:bookmarkEnd w:id="0"/>
    </w:p>
    <w:tbl>
      <w:tblPr>
        <w:tblStyle w:val="5"/>
        <w:tblW w:w="15660" w:type="dxa"/>
        <w:jc w:val="center"/>
        <w:tblLayout w:type="fixed"/>
        <w:tblCellMar>
          <w:top w:w="0" w:type="dxa"/>
          <w:left w:w="108" w:type="dxa"/>
          <w:bottom w:w="0" w:type="dxa"/>
          <w:right w:w="108" w:type="dxa"/>
        </w:tblCellMar>
      </w:tblPr>
      <w:tblGrid>
        <w:gridCol w:w="720"/>
        <w:gridCol w:w="1465"/>
        <w:gridCol w:w="3525"/>
        <w:gridCol w:w="1850"/>
        <w:gridCol w:w="1620"/>
        <w:gridCol w:w="2340"/>
        <w:gridCol w:w="4140"/>
      </w:tblGrid>
      <w:tr>
        <w:tblPrEx>
          <w:tblCellMar>
            <w:top w:w="0" w:type="dxa"/>
            <w:left w:w="108" w:type="dxa"/>
            <w:bottom w:w="0" w:type="dxa"/>
            <w:right w:w="108" w:type="dxa"/>
          </w:tblCellMar>
        </w:tblPrEx>
        <w:trPr>
          <w:trHeight w:val="475" w:hRule="atLeast"/>
          <w:jc w:val="center"/>
        </w:trPr>
        <w:tc>
          <w:tcPr>
            <w:tcW w:w="15660" w:type="dxa"/>
            <w:gridSpan w:val="7"/>
            <w:tcBorders>
              <w:top w:val="nil"/>
              <w:left w:val="nil"/>
              <w:bottom w:val="single" w:color="auto" w:sz="4" w:space="0"/>
              <w:right w:val="nil"/>
            </w:tcBorders>
            <w:vAlign w:val="center"/>
          </w:tcPr>
          <w:p>
            <w:pPr>
              <w:widowControl/>
              <w:jc w:val="left"/>
              <w:rPr>
                <w:rFonts w:ascii="黑体" w:hAnsi="宋体" w:eastAsia="黑体" w:cs="宋体"/>
                <w:kern w:val="0"/>
                <w:sz w:val="28"/>
                <w:szCs w:val="28"/>
              </w:rPr>
            </w:pPr>
            <w:r>
              <w:rPr>
                <w:rFonts w:hint="eastAsia" w:ascii="黑体" w:hAnsi="宋体" w:eastAsia="黑体" w:cs="宋体"/>
                <w:kern w:val="0"/>
                <w:sz w:val="28"/>
                <w:szCs w:val="28"/>
              </w:rPr>
              <w:t xml:space="preserve">附件1                         </w:t>
            </w:r>
            <w:r>
              <w:rPr>
                <w:rFonts w:hint="eastAsia" w:ascii="黑体" w:hAnsi="宋体" w:eastAsia="黑体" w:cs="宋体"/>
                <w:kern w:val="0"/>
                <w:sz w:val="30"/>
                <w:szCs w:val="28"/>
              </w:rPr>
              <w:t xml:space="preserve">   </w:t>
            </w:r>
            <w:r>
              <w:rPr>
                <w:rFonts w:hint="eastAsia" w:ascii="方正小标宋简体" w:hAnsi="宋体" w:eastAsia="方正小标宋简体" w:cs="宋体"/>
                <w:kern w:val="0"/>
                <w:sz w:val="30"/>
                <w:szCs w:val="28"/>
              </w:rPr>
              <w:t>2021年福鼎市新任教师招聘考试面试教材</w:t>
            </w:r>
          </w:p>
        </w:tc>
      </w:tr>
      <w:tr>
        <w:tblPrEx>
          <w:tblCellMar>
            <w:top w:w="0" w:type="dxa"/>
            <w:left w:w="108" w:type="dxa"/>
            <w:bottom w:w="0" w:type="dxa"/>
            <w:right w:w="108" w:type="dxa"/>
          </w:tblCellMar>
        </w:tblPrEx>
        <w:trPr>
          <w:trHeight w:val="443" w:hRule="atLeast"/>
          <w:jc w:val="center"/>
        </w:trPr>
        <w:tc>
          <w:tcPr>
            <w:tcW w:w="720" w:type="dxa"/>
            <w:tcBorders>
              <w:top w:val="nil"/>
              <w:left w:val="single" w:color="auto" w:sz="4" w:space="0"/>
              <w:bottom w:val="single" w:color="auto" w:sz="4" w:space="0"/>
              <w:right w:val="single" w:color="auto" w:sz="4" w:space="0"/>
            </w:tcBorders>
            <w:vAlign w:val="center"/>
          </w:tcPr>
          <w:p>
            <w:pPr>
              <w:widowControl/>
              <w:jc w:val="center"/>
              <w:rPr>
                <w:rFonts w:ascii="黑体" w:hAnsi="宋体" w:eastAsia="黑体" w:cs="宋体"/>
                <w:kern w:val="0"/>
                <w:sz w:val="24"/>
              </w:rPr>
            </w:pPr>
            <w:r>
              <w:rPr>
                <w:rFonts w:hint="eastAsia" w:ascii="黑体" w:hAnsi="宋体" w:eastAsia="黑体" w:cs="宋体"/>
                <w:kern w:val="0"/>
                <w:sz w:val="24"/>
              </w:rPr>
              <w:t>序号</w:t>
            </w:r>
          </w:p>
        </w:tc>
        <w:tc>
          <w:tcPr>
            <w:tcW w:w="1465" w:type="dxa"/>
            <w:tcBorders>
              <w:top w:val="nil"/>
              <w:left w:val="nil"/>
              <w:bottom w:val="single" w:color="auto" w:sz="4" w:space="0"/>
              <w:right w:val="single" w:color="auto" w:sz="4" w:space="0"/>
            </w:tcBorders>
            <w:vAlign w:val="center"/>
          </w:tcPr>
          <w:p>
            <w:pPr>
              <w:widowControl/>
              <w:jc w:val="center"/>
              <w:rPr>
                <w:rFonts w:ascii="黑体" w:hAnsi="宋体" w:eastAsia="黑体" w:cs="宋体"/>
                <w:kern w:val="0"/>
                <w:sz w:val="24"/>
              </w:rPr>
            </w:pPr>
            <w:r>
              <w:rPr>
                <w:rFonts w:hint="eastAsia" w:ascii="黑体" w:hAnsi="宋体" w:eastAsia="黑体" w:cs="宋体"/>
                <w:kern w:val="0"/>
                <w:sz w:val="24"/>
              </w:rPr>
              <w:t>学科</w:t>
            </w:r>
          </w:p>
        </w:tc>
        <w:tc>
          <w:tcPr>
            <w:tcW w:w="3525" w:type="dxa"/>
            <w:tcBorders>
              <w:top w:val="nil"/>
              <w:left w:val="nil"/>
              <w:bottom w:val="single" w:color="auto" w:sz="4" w:space="0"/>
              <w:right w:val="single" w:color="auto" w:sz="4" w:space="0"/>
            </w:tcBorders>
            <w:vAlign w:val="center"/>
          </w:tcPr>
          <w:p>
            <w:pPr>
              <w:widowControl/>
              <w:jc w:val="center"/>
              <w:rPr>
                <w:rFonts w:ascii="黑体" w:hAnsi="宋体" w:eastAsia="黑体" w:cs="宋体"/>
                <w:kern w:val="0"/>
                <w:sz w:val="24"/>
              </w:rPr>
            </w:pPr>
            <w:r>
              <w:rPr>
                <w:rFonts w:hint="eastAsia" w:ascii="黑体" w:hAnsi="宋体" w:eastAsia="黑体" w:cs="宋体"/>
                <w:kern w:val="0"/>
                <w:sz w:val="24"/>
              </w:rPr>
              <w:t>书名</w:t>
            </w:r>
          </w:p>
        </w:tc>
        <w:tc>
          <w:tcPr>
            <w:tcW w:w="1850" w:type="dxa"/>
            <w:tcBorders>
              <w:top w:val="nil"/>
              <w:left w:val="nil"/>
              <w:bottom w:val="single" w:color="auto" w:sz="4" w:space="0"/>
              <w:right w:val="single" w:color="auto" w:sz="4" w:space="0"/>
            </w:tcBorders>
            <w:vAlign w:val="center"/>
          </w:tcPr>
          <w:p>
            <w:pPr>
              <w:widowControl/>
              <w:jc w:val="center"/>
              <w:rPr>
                <w:rFonts w:ascii="黑体" w:hAnsi="宋体" w:eastAsia="黑体" w:cs="宋体"/>
                <w:kern w:val="0"/>
                <w:sz w:val="24"/>
              </w:rPr>
            </w:pPr>
            <w:r>
              <w:rPr>
                <w:rFonts w:hint="eastAsia" w:ascii="黑体" w:hAnsi="宋体" w:eastAsia="黑体" w:cs="宋体"/>
                <w:kern w:val="0"/>
                <w:sz w:val="24"/>
              </w:rPr>
              <w:t xml:space="preserve">年级          </w:t>
            </w:r>
          </w:p>
        </w:tc>
        <w:tc>
          <w:tcPr>
            <w:tcW w:w="1620" w:type="dxa"/>
            <w:tcBorders>
              <w:top w:val="nil"/>
              <w:left w:val="nil"/>
              <w:bottom w:val="single" w:color="auto" w:sz="4" w:space="0"/>
              <w:right w:val="single" w:color="auto" w:sz="4" w:space="0"/>
            </w:tcBorders>
            <w:vAlign w:val="center"/>
          </w:tcPr>
          <w:p>
            <w:pPr>
              <w:widowControl/>
              <w:jc w:val="center"/>
              <w:rPr>
                <w:rFonts w:ascii="黑体" w:hAnsi="宋体" w:eastAsia="黑体" w:cs="宋体"/>
                <w:kern w:val="0"/>
                <w:sz w:val="24"/>
              </w:rPr>
            </w:pPr>
            <w:r>
              <w:rPr>
                <w:rFonts w:hint="eastAsia" w:ascii="黑体" w:hAnsi="宋体" w:eastAsia="黑体" w:cs="宋体"/>
                <w:kern w:val="0"/>
                <w:sz w:val="24"/>
              </w:rPr>
              <w:t>主编</w:t>
            </w:r>
          </w:p>
        </w:tc>
        <w:tc>
          <w:tcPr>
            <w:tcW w:w="2340" w:type="dxa"/>
            <w:tcBorders>
              <w:top w:val="nil"/>
              <w:left w:val="nil"/>
              <w:bottom w:val="single" w:color="auto" w:sz="4" w:space="0"/>
              <w:right w:val="single" w:color="auto" w:sz="4" w:space="0"/>
            </w:tcBorders>
            <w:vAlign w:val="center"/>
          </w:tcPr>
          <w:p>
            <w:pPr>
              <w:widowControl/>
              <w:jc w:val="center"/>
              <w:rPr>
                <w:rFonts w:ascii="黑体" w:hAnsi="宋体" w:eastAsia="黑体" w:cs="宋体"/>
                <w:kern w:val="0"/>
                <w:sz w:val="24"/>
              </w:rPr>
            </w:pPr>
            <w:r>
              <w:rPr>
                <w:rFonts w:hint="eastAsia" w:ascii="黑体" w:hAnsi="宋体" w:eastAsia="黑体" w:cs="宋体"/>
                <w:kern w:val="0"/>
                <w:sz w:val="24"/>
              </w:rPr>
              <w:t>出版发行</w:t>
            </w:r>
          </w:p>
        </w:tc>
        <w:tc>
          <w:tcPr>
            <w:tcW w:w="4140" w:type="dxa"/>
            <w:tcBorders>
              <w:top w:val="nil"/>
              <w:left w:val="nil"/>
              <w:bottom w:val="single" w:color="auto" w:sz="4" w:space="0"/>
              <w:right w:val="single" w:color="auto" w:sz="4" w:space="0"/>
            </w:tcBorders>
            <w:vAlign w:val="center"/>
          </w:tcPr>
          <w:p>
            <w:pPr>
              <w:widowControl/>
              <w:jc w:val="center"/>
              <w:rPr>
                <w:rFonts w:ascii="黑体" w:hAnsi="宋体" w:eastAsia="黑体" w:cs="宋体"/>
                <w:kern w:val="0"/>
                <w:sz w:val="24"/>
              </w:rPr>
            </w:pPr>
            <w:r>
              <w:rPr>
                <w:rFonts w:hint="eastAsia" w:ascii="黑体" w:hAnsi="宋体" w:eastAsia="黑体" w:cs="宋体"/>
                <w:kern w:val="0"/>
                <w:sz w:val="24"/>
              </w:rPr>
              <w:t>版次</w:t>
            </w:r>
          </w:p>
        </w:tc>
      </w:tr>
      <w:tr>
        <w:tblPrEx>
          <w:tblCellMar>
            <w:top w:w="0" w:type="dxa"/>
            <w:left w:w="108" w:type="dxa"/>
            <w:bottom w:w="0" w:type="dxa"/>
            <w:right w:w="108" w:type="dxa"/>
          </w:tblCellMar>
        </w:tblPrEx>
        <w:trPr>
          <w:trHeight w:val="443" w:hRule="atLeast"/>
          <w:jc w:val="center"/>
        </w:trPr>
        <w:tc>
          <w:tcPr>
            <w:tcW w:w="7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w:t>
            </w:r>
          </w:p>
        </w:tc>
        <w:tc>
          <w:tcPr>
            <w:tcW w:w="1465"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初中语文</w:t>
            </w:r>
          </w:p>
        </w:tc>
        <w:tc>
          <w:tcPr>
            <w:tcW w:w="3525"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义务教育教科书·语文</w:t>
            </w:r>
          </w:p>
        </w:tc>
        <w:tc>
          <w:tcPr>
            <w:tcW w:w="185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七年级下册</w:t>
            </w:r>
          </w:p>
        </w:tc>
        <w:tc>
          <w:tcPr>
            <w:tcW w:w="162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温儒敏</w:t>
            </w:r>
          </w:p>
        </w:tc>
        <w:tc>
          <w:tcPr>
            <w:tcW w:w="234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人民教育出版社出版</w:t>
            </w:r>
          </w:p>
          <w:p>
            <w:pPr>
              <w:widowControl/>
              <w:jc w:val="center"/>
              <w:rPr>
                <w:rFonts w:ascii="宋体" w:hAnsi="宋体" w:cs="宋体"/>
                <w:kern w:val="0"/>
                <w:sz w:val="20"/>
                <w:szCs w:val="20"/>
              </w:rPr>
            </w:pPr>
            <w:r>
              <w:rPr>
                <w:rFonts w:hint="eastAsia" w:ascii="宋体" w:hAnsi="宋体" w:cs="宋体"/>
                <w:kern w:val="0"/>
                <w:sz w:val="20"/>
                <w:szCs w:val="20"/>
              </w:rPr>
              <w:t>福建省新华书店发行</w:t>
            </w:r>
          </w:p>
        </w:tc>
        <w:tc>
          <w:tcPr>
            <w:tcW w:w="414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2016年11月第1版 2018年12月第3次印刷</w:t>
            </w:r>
          </w:p>
        </w:tc>
      </w:tr>
      <w:tr>
        <w:tblPrEx>
          <w:tblCellMar>
            <w:top w:w="0" w:type="dxa"/>
            <w:left w:w="108" w:type="dxa"/>
            <w:bottom w:w="0" w:type="dxa"/>
            <w:right w:w="108" w:type="dxa"/>
          </w:tblCellMar>
        </w:tblPrEx>
        <w:trPr>
          <w:trHeight w:val="443" w:hRule="atLeast"/>
          <w:jc w:val="center"/>
        </w:trPr>
        <w:tc>
          <w:tcPr>
            <w:tcW w:w="7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1465"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初中数学</w:t>
            </w:r>
          </w:p>
        </w:tc>
        <w:tc>
          <w:tcPr>
            <w:tcW w:w="3525"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义务教育教科书·数学</w:t>
            </w:r>
          </w:p>
        </w:tc>
        <w:tc>
          <w:tcPr>
            <w:tcW w:w="185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七年级下册</w:t>
            </w:r>
          </w:p>
        </w:tc>
        <w:tc>
          <w:tcPr>
            <w:tcW w:w="162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马复</w:t>
            </w:r>
          </w:p>
        </w:tc>
        <w:tc>
          <w:tcPr>
            <w:tcW w:w="234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北京师范大学出版社</w:t>
            </w:r>
          </w:p>
        </w:tc>
        <w:tc>
          <w:tcPr>
            <w:tcW w:w="414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2013年12月第2版 2016年12月第5次印刷</w:t>
            </w:r>
          </w:p>
        </w:tc>
      </w:tr>
      <w:tr>
        <w:tblPrEx>
          <w:tblCellMar>
            <w:top w:w="0" w:type="dxa"/>
            <w:left w:w="108" w:type="dxa"/>
            <w:bottom w:w="0" w:type="dxa"/>
            <w:right w:w="108" w:type="dxa"/>
          </w:tblCellMar>
        </w:tblPrEx>
        <w:trPr>
          <w:trHeight w:val="443" w:hRule="atLeast"/>
          <w:jc w:val="center"/>
        </w:trPr>
        <w:tc>
          <w:tcPr>
            <w:tcW w:w="7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3</w:t>
            </w:r>
          </w:p>
        </w:tc>
        <w:tc>
          <w:tcPr>
            <w:tcW w:w="1465"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初中英语</w:t>
            </w:r>
          </w:p>
        </w:tc>
        <w:tc>
          <w:tcPr>
            <w:tcW w:w="3525"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义务教育教科书·英语</w:t>
            </w:r>
          </w:p>
        </w:tc>
        <w:tc>
          <w:tcPr>
            <w:tcW w:w="185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七年级下册</w:t>
            </w:r>
          </w:p>
        </w:tc>
        <w:tc>
          <w:tcPr>
            <w:tcW w:w="162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Jim Greenlaw</w:t>
            </w:r>
          </w:p>
          <w:p>
            <w:pPr>
              <w:widowControl/>
              <w:jc w:val="center"/>
              <w:rPr>
                <w:rFonts w:ascii="宋体" w:hAnsi="宋体" w:cs="宋体"/>
                <w:kern w:val="0"/>
                <w:sz w:val="20"/>
                <w:szCs w:val="20"/>
              </w:rPr>
            </w:pPr>
            <w:r>
              <w:rPr>
                <w:rFonts w:hint="eastAsia" w:ascii="宋体" w:hAnsi="宋体" w:cs="宋体"/>
                <w:kern w:val="0"/>
                <w:sz w:val="20"/>
                <w:szCs w:val="20"/>
              </w:rPr>
              <w:t xml:space="preserve">王德春 </w:t>
            </w:r>
          </w:p>
        </w:tc>
        <w:tc>
          <w:tcPr>
            <w:tcW w:w="234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科学普级出版社      福建新华书店发行</w:t>
            </w:r>
          </w:p>
        </w:tc>
        <w:tc>
          <w:tcPr>
            <w:tcW w:w="414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2012年12月第1版 2018年12月第46次印刷</w:t>
            </w:r>
          </w:p>
        </w:tc>
      </w:tr>
      <w:tr>
        <w:tblPrEx>
          <w:tblCellMar>
            <w:top w:w="0" w:type="dxa"/>
            <w:left w:w="108" w:type="dxa"/>
            <w:bottom w:w="0" w:type="dxa"/>
            <w:right w:w="108" w:type="dxa"/>
          </w:tblCellMar>
        </w:tblPrEx>
        <w:trPr>
          <w:trHeight w:val="443" w:hRule="atLeast"/>
          <w:jc w:val="center"/>
        </w:trPr>
        <w:tc>
          <w:tcPr>
            <w:tcW w:w="7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4</w:t>
            </w:r>
          </w:p>
        </w:tc>
        <w:tc>
          <w:tcPr>
            <w:tcW w:w="1465"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初中地理</w:t>
            </w:r>
          </w:p>
        </w:tc>
        <w:tc>
          <w:tcPr>
            <w:tcW w:w="3525"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义务教育教科书·地理</w:t>
            </w:r>
          </w:p>
        </w:tc>
        <w:tc>
          <w:tcPr>
            <w:tcW w:w="185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七年级下册</w:t>
            </w:r>
          </w:p>
        </w:tc>
        <w:tc>
          <w:tcPr>
            <w:tcW w:w="162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朱翔、刘新民</w:t>
            </w:r>
          </w:p>
        </w:tc>
        <w:tc>
          <w:tcPr>
            <w:tcW w:w="234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湖南教育出版社出版</w:t>
            </w:r>
          </w:p>
          <w:p>
            <w:pPr>
              <w:widowControl/>
              <w:jc w:val="center"/>
              <w:rPr>
                <w:rFonts w:ascii="宋体" w:hAnsi="宋体" w:cs="宋体"/>
                <w:kern w:val="0"/>
                <w:sz w:val="20"/>
                <w:szCs w:val="20"/>
              </w:rPr>
            </w:pPr>
            <w:r>
              <w:rPr>
                <w:rFonts w:hint="eastAsia" w:ascii="宋体" w:hAnsi="宋体" w:cs="宋体"/>
                <w:kern w:val="0"/>
                <w:sz w:val="20"/>
                <w:szCs w:val="20"/>
              </w:rPr>
              <w:t>福建省新华书店发行</w:t>
            </w:r>
          </w:p>
        </w:tc>
        <w:tc>
          <w:tcPr>
            <w:tcW w:w="414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2002年1月第1版 2020年10月第2版第9次印刷</w:t>
            </w:r>
          </w:p>
        </w:tc>
      </w:tr>
      <w:tr>
        <w:tblPrEx>
          <w:tblCellMar>
            <w:top w:w="0" w:type="dxa"/>
            <w:left w:w="108" w:type="dxa"/>
            <w:bottom w:w="0" w:type="dxa"/>
            <w:right w:w="108" w:type="dxa"/>
          </w:tblCellMar>
        </w:tblPrEx>
        <w:trPr>
          <w:trHeight w:val="499" w:hRule="atLeast"/>
          <w:jc w:val="center"/>
        </w:trPr>
        <w:tc>
          <w:tcPr>
            <w:tcW w:w="7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5</w:t>
            </w:r>
          </w:p>
        </w:tc>
        <w:tc>
          <w:tcPr>
            <w:tcW w:w="1465"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初中生物</w:t>
            </w:r>
          </w:p>
        </w:tc>
        <w:tc>
          <w:tcPr>
            <w:tcW w:w="3525"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义务教育教科书·生物学</w:t>
            </w:r>
          </w:p>
        </w:tc>
        <w:tc>
          <w:tcPr>
            <w:tcW w:w="185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七年级下册</w:t>
            </w:r>
          </w:p>
        </w:tc>
        <w:tc>
          <w:tcPr>
            <w:tcW w:w="162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朱正威、赵占良</w:t>
            </w:r>
          </w:p>
        </w:tc>
        <w:tc>
          <w:tcPr>
            <w:tcW w:w="234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人民教育出版社出版</w:t>
            </w:r>
          </w:p>
          <w:p>
            <w:pPr>
              <w:widowControl/>
              <w:jc w:val="center"/>
              <w:rPr>
                <w:rFonts w:ascii="宋体" w:hAnsi="宋体" w:cs="宋体"/>
                <w:kern w:val="0"/>
                <w:sz w:val="20"/>
                <w:szCs w:val="20"/>
              </w:rPr>
            </w:pPr>
            <w:r>
              <w:rPr>
                <w:rFonts w:hint="eastAsia" w:ascii="宋体" w:hAnsi="宋体" w:cs="宋体"/>
                <w:kern w:val="0"/>
                <w:sz w:val="20"/>
                <w:szCs w:val="20"/>
              </w:rPr>
              <w:t>福建省新华书店发行</w:t>
            </w:r>
          </w:p>
        </w:tc>
        <w:tc>
          <w:tcPr>
            <w:tcW w:w="414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2012年10月第1版 2020年12月第9次印刷</w:t>
            </w:r>
          </w:p>
        </w:tc>
      </w:tr>
      <w:tr>
        <w:tblPrEx>
          <w:tblCellMar>
            <w:top w:w="0" w:type="dxa"/>
            <w:left w:w="108" w:type="dxa"/>
            <w:bottom w:w="0" w:type="dxa"/>
            <w:right w:w="108" w:type="dxa"/>
          </w:tblCellMar>
        </w:tblPrEx>
        <w:trPr>
          <w:trHeight w:val="499" w:hRule="atLeast"/>
          <w:jc w:val="center"/>
        </w:trPr>
        <w:tc>
          <w:tcPr>
            <w:tcW w:w="7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6</w:t>
            </w:r>
          </w:p>
        </w:tc>
        <w:tc>
          <w:tcPr>
            <w:tcW w:w="1465"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初中体育</w:t>
            </w:r>
          </w:p>
        </w:tc>
        <w:tc>
          <w:tcPr>
            <w:tcW w:w="3525"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义务教育教科书·体育与健康</w:t>
            </w:r>
          </w:p>
        </w:tc>
        <w:tc>
          <w:tcPr>
            <w:tcW w:w="185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七年级全一册</w:t>
            </w:r>
          </w:p>
        </w:tc>
        <w:tc>
          <w:tcPr>
            <w:tcW w:w="162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耿培新</w:t>
            </w:r>
          </w:p>
        </w:tc>
        <w:tc>
          <w:tcPr>
            <w:tcW w:w="234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人民教育出版社出版</w:t>
            </w:r>
          </w:p>
          <w:p>
            <w:pPr>
              <w:widowControl/>
              <w:jc w:val="center"/>
              <w:rPr>
                <w:rFonts w:ascii="宋体" w:hAnsi="宋体" w:cs="宋体"/>
                <w:kern w:val="0"/>
                <w:sz w:val="20"/>
                <w:szCs w:val="20"/>
              </w:rPr>
            </w:pPr>
            <w:r>
              <w:rPr>
                <w:rFonts w:hint="eastAsia" w:ascii="宋体" w:hAnsi="宋体" w:cs="宋体"/>
                <w:kern w:val="0"/>
                <w:sz w:val="20"/>
                <w:szCs w:val="20"/>
              </w:rPr>
              <w:t>福建省新华书店发行</w:t>
            </w:r>
          </w:p>
        </w:tc>
        <w:tc>
          <w:tcPr>
            <w:tcW w:w="414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2012年6月第1版 2019年6月第8次印刷</w:t>
            </w:r>
          </w:p>
        </w:tc>
      </w:tr>
      <w:tr>
        <w:tblPrEx>
          <w:tblCellMar>
            <w:top w:w="0" w:type="dxa"/>
            <w:left w:w="108" w:type="dxa"/>
            <w:bottom w:w="0" w:type="dxa"/>
            <w:right w:w="108" w:type="dxa"/>
          </w:tblCellMar>
        </w:tblPrEx>
        <w:trPr>
          <w:trHeight w:val="499" w:hRule="atLeast"/>
          <w:jc w:val="center"/>
        </w:trPr>
        <w:tc>
          <w:tcPr>
            <w:tcW w:w="7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7</w:t>
            </w:r>
          </w:p>
        </w:tc>
        <w:tc>
          <w:tcPr>
            <w:tcW w:w="1465"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小学语文</w:t>
            </w:r>
          </w:p>
        </w:tc>
        <w:tc>
          <w:tcPr>
            <w:tcW w:w="3525"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义务教育教科书·语文</w:t>
            </w:r>
          </w:p>
        </w:tc>
        <w:tc>
          <w:tcPr>
            <w:tcW w:w="185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五年级下册</w:t>
            </w:r>
          </w:p>
        </w:tc>
        <w:tc>
          <w:tcPr>
            <w:tcW w:w="162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温儒敏</w:t>
            </w:r>
          </w:p>
        </w:tc>
        <w:tc>
          <w:tcPr>
            <w:tcW w:w="234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人民教育出版社出版</w:t>
            </w:r>
          </w:p>
          <w:p>
            <w:pPr>
              <w:widowControl/>
              <w:jc w:val="center"/>
              <w:rPr>
                <w:rFonts w:ascii="宋体" w:hAnsi="宋体" w:cs="宋体"/>
                <w:kern w:val="0"/>
                <w:sz w:val="20"/>
                <w:szCs w:val="20"/>
              </w:rPr>
            </w:pPr>
            <w:r>
              <w:rPr>
                <w:rFonts w:hint="eastAsia" w:ascii="宋体" w:hAnsi="宋体" w:cs="宋体"/>
                <w:kern w:val="0"/>
                <w:sz w:val="20"/>
                <w:szCs w:val="20"/>
              </w:rPr>
              <w:t>福建省新华书店发行</w:t>
            </w:r>
          </w:p>
        </w:tc>
        <w:tc>
          <w:tcPr>
            <w:tcW w:w="414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2019年12月第1版 2020年12月第2次印刷</w:t>
            </w:r>
          </w:p>
        </w:tc>
      </w:tr>
      <w:tr>
        <w:tblPrEx>
          <w:tblCellMar>
            <w:top w:w="0" w:type="dxa"/>
            <w:left w:w="108" w:type="dxa"/>
            <w:bottom w:w="0" w:type="dxa"/>
            <w:right w:w="108" w:type="dxa"/>
          </w:tblCellMar>
        </w:tblPrEx>
        <w:trPr>
          <w:trHeight w:val="499" w:hRule="atLeast"/>
          <w:jc w:val="center"/>
        </w:trPr>
        <w:tc>
          <w:tcPr>
            <w:tcW w:w="7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8</w:t>
            </w:r>
          </w:p>
        </w:tc>
        <w:tc>
          <w:tcPr>
            <w:tcW w:w="1465"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小学数学</w:t>
            </w:r>
          </w:p>
        </w:tc>
        <w:tc>
          <w:tcPr>
            <w:tcW w:w="3525"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义务教育教科书·数学</w:t>
            </w:r>
          </w:p>
        </w:tc>
        <w:tc>
          <w:tcPr>
            <w:tcW w:w="185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五年级下册</w:t>
            </w:r>
          </w:p>
        </w:tc>
        <w:tc>
          <w:tcPr>
            <w:tcW w:w="162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孙丽谷、王林</w:t>
            </w:r>
          </w:p>
        </w:tc>
        <w:tc>
          <w:tcPr>
            <w:tcW w:w="234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江苏凤凰教育出版社</w:t>
            </w:r>
          </w:p>
        </w:tc>
        <w:tc>
          <w:tcPr>
            <w:tcW w:w="414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2014年12月第1版 2019年10月第6次印刷</w:t>
            </w:r>
          </w:p>
        </w:tc>
      </w:tr>
      <w:tr>
        <w:tblPrEx>
          <w:tblCellMar>
            <w:top w:w="0" w:type="dxa"/>
            <w:left w:w="108" w:type="dxa"/>
            <w:bottom w:w="0" w:type="dxa"/>
            <w:right w:w="108" w:type="dxa"/>
          </w:tblCellMar>
        </w:tblPrEx>
        <w:trPr>
          <w:trHeight w:val="499" w:hRule="atLeast"/>
          <w:jc w:val="center"/>
        </w:trPr>
        <w:tc>
          <w:tcPr>
            <w:tcW w:w="7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9</w:t>
            </w:r>
          </w:p>
        </w:tc>
        <w:tc>
          <w:tcPr>
            <w:tcW w:w="1465"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小学英语</w:t>
            </w:r>
          </w:p>
        </w:tc>
        <w:tc>
          <w:tcPr>
            <w:tcW w:w="3525"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义务教育教科书·英语（三年级起点）</w:t>
            </w:r>
          </w:p>
        </w:tc>
        <w:tc>
          <w:tcPr>
            <w:tcW w:w="185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五年级下册</w:t>
            </w:r>
          </w:p>
        </w:tc>
        <w:tc>
          <w:tcPr>
            <w:tcW w:w="162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王蔷、Ken Methold</w:t>
            </w:r>
          </w:p>
        </w:tc>
        <w:tc>
          <w:tcPr>
            <w:tcW w:w="234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北京师范大学出版社</w:t>
            </w:r>
          </w:p>
        </w:tc>
        <w:tc>
          <w:tcPr>
            <w:tcW w:w="414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2014年12月第1版 2017年12月第4次印刷</w:t>
            </w:r>
          </w:p>
        </w:tc>
      </w:tr>
      <w:tr>
        <w:tblPrEx>
          <w:tblCellMar>
            <w:top w:w="0" w:type="dxa"/>
            <w:left w:w="108" w:type="dxa"/>
            <w:bottom w:w="0" w:type="dxa"/>
            <w:right w:w="108" w:type="dxa"/>
          </w:tblCellMar>
        </w:tblPrEx>
        <w:trPr>
          <w:trHeight w:val="499" w:hRule="atLeast"/>
          <w:jc w:val="center"/>
        </w:trPr>
        <w:tc>
          <w:tcPr>
            <w:tcW w:w="7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10</w:t>
            </w:r>
          </w:p>
        </w:tc>
        <w:tc>
          <w:tcPr>
            <w:tcW w:w="1465"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小学科学</w:t>
            </w:r>
          </w:p>
        </w:tc>
        <w:tc>
          <w:tcPr>
            <w:tcW w:w="3525"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义务教育课程标准实验教科书·科学</w:t>
            </w:r>
          </w:p>
        </w:tc>
        <w:tc>
          <w:tcPr>
            <w:tcW w:w="185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五年级下册</w:t>
            </w:r>
          </w:p>
        </w:tc>
        <w:tc>
          <w:tcPr>
            <w:tcW w:w="162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郁波</w:t>
            </w:r>
          </w:p>
        </w:tc>
        <w:tc>
          <w:tcPr>
            <w:tcW w:w="234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教育科学出版社</w:t>
            </w:r>
          </w:p>
        </w:tc>
        <w:tc>
          <w:tcPr>
            <w:tcW w:w="414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2003年12月第1版 2016年11月第14次印刷</w:t>
            </w:r>
          </w:p>
        </w:tc>
      </w:tr>
      <w:tr>
        <w:tblPrEx>
          <w:tblCellMar>
            <w:top w:w="0" w:type="dxa"/>
            <w:left w:w="108" w:type="dxa"/>
            <w:bottom w:w="0" w:type="dxa"/>
            <w:right w:w="108" w:type="dxa"/>
          </w:tblCellMar>
        </w:tblPrEx>
        <w:trPr>
          <w:trHeight w:val="499" w:hRule="atLeast"/>
          <w:jc w:val="center"/>
        </w:trPr>
        <w:tc>
          <w:tcPr>
            <w:tcW w:w="7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11</w:t>
            </w:r>
          </w:p>
        </w:tc>
        <w:tc>
          <w:tcPr>
            <w:tcW w:w="1465"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小学音乐</w:t>
            </w:r>
          </w:p>
        </w:tc>
        <w:tc>
          <w:tcPr>
            <w:tcW w:w="3525"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义务教育教科书·音乐</w:t>
            </w:r>
          </w:p>
        </w:tc>
        <w:tc>
          <w:tcPr>
            <w:tcW w:w="185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五年级下册</w:t>
            </w:r>
          </w:p>
        </w:tc>
        <w:tc>
          <w:tcPr>
            <w:tcW w:w="162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张前、刘清华</w:t>
            </w:r>
          </w:p>
        </w:tc>
        <w:tc>
          <w:tcPr>
            <w:tcW w:w="234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湖南文艺出版社出版</w:t>
            </w:r>
          </w:p>
          <w:p>
            <w:pPr>
              <w:widowControl/>
              <w:jc w:val="center"/>
              <w:rPr>
                <w:rFonts w:ascii="宋体" w:hAnsi="宋体" w:cs="宋体"/>
                <w:kern w:val="0"/>
                <w:sz w:val="20"/>
                <w:szCs w:val="20"/>
              </w:rPr>
            </w:pPr>
            <w:r>
              <w:rPr>
                <w:rFonts w:hint="eastAsia" w:ascii="宋体" w:hAnsi="宋体" w:cs="宋体"/>
                <w:kern w:val="0"/>
                <w:sz w:val="20"/>
                <w:szCs w:val="20"/>
              </w:rPr>
              <w:t>福建省新华书店发行</w:t>
            </w:r>
          </w:p>
        </w:tc>
        <w:tc>
          <w:tcPr>
            <w:tcW w:w="414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2015年1月第1版 2017年11月第4次印刷</w:t>
            </w:r>
          </w:p>
        </w:tc>
      </w:tr>
      <w:tr>
        <w:tblPrEx>
          <w:tblCellMar>
            <w:top w:w="0" w:type="dxa"/>
            <w:left w:w="108" w:type="dxa"/>
            <w:bottom w:w="0" w:type="dxa"/>
            <w:right w:w="108" w:type="dxa"/>
          </w:tblCellMar>
        </w:tblPrEx>
        <w:trPr>
          <w:trHeight w:val="499" w:hRule="atLeast"/>
          <w:jc w:val="center"/>
        </w:trPr>
        <w:tc>
          <w:tcPr>
            <w:tcW w:w="7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12</w:t>
            </w:r>
          </w:p>
        </w:tc>
        <w:tc>
          <w:tcPr>
            <w:tcW w:w="1465"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小学美术</w:t>
            </w:r>
          </w:p>
        </w:tc>
        <w:tc>
          <w:tcPr>
            <w:tcW w:w="3525"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义务教育教科书·美术</w:t>
            </w:r>
          </w:p>
        </w:tc>
        <w:tc>
          <w:tcPr>
            <w:tcW w:w="185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五年级下册</w:t>
            </w:r>
          </w:p>
        </w:tc>
        <w:tc>
          <w:tcPr>
            <w:tcW w:w="162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徐冰、李小山</w:t>
            </w:r>
          </w:p>
        </w:tc>
        <w:tc>
          <w:tcPr>
            <w:tcW w:w="234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湖南美术出版社出版</w:t>
            </w:r>
          </w:p>
          <w:p>
            <w:pPr>
              <w:widowControl/>
              <w:jc w:val="center"/>
              <w:rPr>
                <w:rFonts w:ascii="宋体" w:hAnsi="宋体" w:cs="宋体"/>
                <w:kern w:val="0"/>
                <w:sz w:val="20"/>
                <w:szCs w:val="20"/>
              </w:rPr>
            </w:pPr>
            <w:r>
              <w:rPr>
                <w:rFonts w:hint="eastAsia" w:ascii="宋体" w:hAnsi="宋体" w:cs="宋体"/>
                <w:kern w:val="0"/>
                <w:sz w:val="20"/>
                <w:szCs w:val="20"/>
              </w:rPr>
              <w:t>福建省新华书店发行</w:t>
            </w:r>
          </w:p>
        </w:tc>
        <w:tc>
          <w:tcPr>
            <w:tcW w:w="414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2018年12月第1版第5次印刷（2019年春）</w:t>
            </w:r>
          </w:p>
        </w:tc>
      </w:tr>
      <w:tr>
        <w:tblPrEx>
          <w:tblCellMar>
            <w:top w:w="0" w:type="dxa"/>
            <w:left w:w="108" w:type="dxa"/>
            <w:bottom w:w="0" w:type="dxa"/>
            <w:right w:w="108" w:type="dxa"/>
          </w:tblCellMar>
        </w:tblPrEx>
        <w:trPr>
          <w:trHeight w:val="499" w:hRule="atLeast"/>
          <w:jc w:val="center"/>
        </w:trPr>
        <w:tc>
          <w:tcPr>
            <w:tcW w:w="7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13</w:t>
            </w:r>
          </w:p>
        </w:tc>
        <w:tc>
          <w:tcPr>
            <w:tcW w:w="1465"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小学体育</w:t>
            </w:r>
          </w:p>
        </w:tc>
        <w:tc>
          <w:tcPr>
            <w:tcW w:w="3525"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义务教育教师用书·体育与健康</w:t>
            </w:r>
          </w:p>
        </w:tc>
        <w:tc>
          <w:tcPr>
            <w:tcW w:w="185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5至6年级全一册</w:t>
            </w:r>
          </w:p>
        </w:tc>
        <w:tc>
          <w:tcPr>
            <w:tcW w:w="162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耿培新</w:t>
            </w:r>
          </w:p>
        </w:tc>
        <w:tc>
          <w:tcPr>
            <w:tcW w:w="234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人民教育出版社</w:t>
            </w:r>
          </w:p>
        </w:tc>
        <w:tc>
          <w:tcPr>
            <w:tcW w:w="414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2014年3月第1版 2017年7月第7次印刷</w:t>
            </w:r>
          </w:p>
        </w:tc>
      </w:tr>
      <w:tr>
        <w:tblPrEx>
          <w:tblCellMar>
            <w:top w:w="0" w:type="dxa"/>
            <w:left w:w="108" w:type="dxa"/>
            <w:bottom w:w="0" w:type="dxa"/>
            <w:right w:w="108" w:type="dxa"/>
          </w:tblCellMar>
        </w:tblPrEx>
        <w:trPr>
          <w:trHeight w:val="499" w:hRule="atLeast"/>
          <w:jc w:val="center"/>
        </w:trPr>
        <w:tc>
          <w:tcPr>
            <w:tcW w:w="7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14</w:t>
            </w:r>
          </w:p>
        </w:tc>
        <w:tc>
          <w:tcPr>
            <w:tcW w:w="1465"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小学信息技术</w:t>
            </w:r>
          </w:p>
        </w:tc>
        <w:tc>
          <w:tcPr>
            <w:tcW w:w="3525"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福建省义务教育教科书（2020年修订版）·信息技术</w:t>
            </w:r>
          </w:p>
        </w:tc>
        <w:tc>
          <w:tcPr>
            <w:tcW w:w="185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五年级下册</w:t>
            </w:r>
          </w:p>
        </w:tc>
        <w:tc>
          <w:tcPr>
            <w:tcW w:w="162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许力</w:t>
            </w:r>
          </w:p>
        </w:tc>
        <w:tc>
          <w:tcPr>
            <w:tcW w:w="234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福建教育出版社出版</w:t>
            </w:r>
          </w:p>
          <w:p>
            <w:pPr>
              <w:widowControl/>
              <w:jc w:val="center"/>
              <w:rPr>
                <w:rFonts w:ascii="宋体" w:hAnsi="宋体" w:cs="宋体"/>
                <w:kern w:val="0"/>
                <w:sz w:val="20"/>
                <w:szCs w:val="20"/>
              </w:rPr>
            </w:pPr>
            <w:r>
              <w:rPr>
                <w:rFonts w:hint="eastAsia" w:ascii="宋体" w:hAnsi="宋体" w:cs="宋体"/>
                <w:kern w:val="0"/>
                <w:sz w:val="20"/>
                <w:szCs w:val="20"/>
              </w:rPr>
              <w:t>福建新华发行（集团）有限责任公司发行</w:t>
            </w:r>
          </w:p>
        </w:tc>
        <w:tc>
          <w:tcPr>
            <w:tcW w:w="414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2020年11月第1版 2020年11月第1次印刷</w:t>
            </w:r>
          </w:p>
        </w:tc>
      </w:tr>
      <w:tr>
        <w:tblPrEx>
          <w:tblCellMar>
            <w:top w:w="0" w:type="dxa"/>
            <w:left w:w="108" w:type="dxa"/>
            <w:bottom w:w="0" w:type="dxa"/>
            <w:right w:w="108" w:type="dxa"/>
          </w:tblCellMar>
        </w:tblPrEx>
        <w:trPr>
          <w:trHeight w:val="499"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15</w:t>
            </w:r>
          </w:p>
        </w:tc>
        <w:tc>
          <w:tcPr>
            <w:tcW w:w="146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小学品德与生活</w:t>
            </w:r>
          </w:p>
        </w:tc>
        <w:tc>
          <w:tcPr>
            <w:tcW w:w="352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义务教育教科书·道德与法治</w:t>
            </w:r>
          </w:p>
        </w:tc>
        <w:tc>
          <w:tcPr>
            <w:tcW w:w="185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五年级下册</w:t>
            </w:r>
          </w:p>
        </w:tc>
        <w:tc>
          <w:tcPr>
            <w:tcW w:w="162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鲁洁</w:t>
            </w:r>
          </w:p>
        </w:tc>
        <w:tc>
          <w:tcPr>
            <w:tcW w:w="234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人民教育出版社出版</w:t>
            </w:r>
          </w:p>
          <w:p>
            <w:pPr>
              <w:widowControl/>
              <w:jc w:val="center"/>
              <w:rPr>
                <w:rFonts w:ascii="宋体" w:hAnsi="宋体" w:cs="宋体"/>
                <w:kern w:val="0"/>
                <w:sz w:val="20"/>
                <w:szCs w:val="20"/>
              </w:rPr>
            </w:pPr>
            <w:r>
              <w:rPr>
                <w:rFonts w:hint="eastAsia" w:ascii="宋体" w:hAnsi="宋体" w:cs="宋体"/>
                <w:kern w:val="0"/>
                <w:sz w:val="20"/>
                <w:szCs w:val="20"/>
              </w:rPr>
              <w:t>福建省新华书店发行</w:t>
            </w:r>
          </w:p>
        </w:tc>
        <w:tc>
          <w:tcPr>
            <w:tcW w:w="414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2019年12月第1版 2021年1月第2次印刷</w:t>
            </w:r>
          </w:p>
        </w:tc>
      </w:tr>
      <w:tr>
        <w:tblPrEx>
          <w:tblCellMar>
            <w:top w:w="0" w:type="dxa"/>
            <w:left w:w="108" w:type="dxa"/>
            <w:bottom w:w="0" w:type="dxa"/>
            <w:right w:w="108" w:type="dxa"/>
          </w:tblCellMar>
        </w:tblPrEx>
        <w:trPr>
          <w:trHeight w:val="433" w:hRule="atLeast"/>
          <w:jc w:val="center"/>
        </w:trPr>
        <w:tc>
          <w:tcPr>
            <w:tcW w:w="7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146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小学心理健康</w:t>
            </w:r>
          </w:p>
        </w:tc>
        <w:tc>
          <w:tcPr>
            <w:tcW w:w="352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小学生心理健康</w:t>
            </w:r>
          </w:p>
        </w:tc>
        <w:tc>
          <w:tcPr>
            <w:tcW w:w="185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五年级下册</w:t>
            </w:r>
          </w:p>
        </w:tc>
        <w:tc>
          <w:tcPr>
            <w:tcW w:w="162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叶一舵</w:t>
            </w:r>
          </w:p>
        </w:tc>
        <w:tc>
          <w:tcPr>
            <w:tcW w:w="234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福建教育出版社出版</w:t>
            </w:r>
          </w:p>
          <w:p>
            <w:pPr>
              <w:widowControl/>
              <w:jc w:val="center"/>
              <w:rPr>
                <w:rFonts w:ascii="宋体" w:hAnsi="宋体" w:cs="宋体"/>
                <w:kern w:val="0"/>
                <w:sz w:val="20"/>
                <w:szCs w:val="20"/>
              </w:rPr>
            </w:pPr>
            <w:r>
              <w:rPr>
                <w:rFonts w:hint="eastAsia" w:ascii="宋体" w:hAnsi="宋体" w:cs="宋体"/>
                <w:kern w:val="0"/>
                <w:sz w:val="20"/>
                <w:szCs w:val="20"/>
              </w:rPr>
              <w:t>福建新华发行（集团）有限责任公司</w:t>
            </w:r>
          </w:p>
        </w:tc>
        <w:tc>
          <w:tcPr>
            <w:tcW w:w="414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2014年1月第4版 2019年1月第6次印刷</w:t>
            </w:r>
          </w:p>
        </w:tc>
      </w:tr>
      <w:tr>
        <w:tblPrEx>
          <w:tblCellMar>
            <w:top w:w="0" w:type="dxa"/>
            <w:left w:w="108" w:type="dxa"/>
            <w:bottom w:w="0" w:type="dxa"/>
            <w:right w:w="108" w:type="dxa"/>
          </w:tblCellMar>
        </w:tblPrEx>
        <w:trPr>
          <w:trHeight w:val="499" w:hRule="atLeast"/>
          <w:jc w:val="center"/>
        </w:trPr>
        <w:tc>
          <w:tcPr>
            <w:tcW w:w="7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17</w:t>
            </w:r>
          </w:p>
        </w:tc>
        <w:tc>
          <w:tcPr>
            <w:tcW w:w="146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幼儿教育</w:t>
            </w:r>
          </w:p>
        </w:tc>
        <w:tc>
          <w:tcPr>
            <w:tcW w:w="352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福建省幼儿园教师教育用书配套材料幼儿活动操作材料（主题活动）</w:t>
            </w:r>
          </w:p>
        </w:tc>
        <w:tc>
          <w:tcPr>
            <w:tcW w:w="185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大班下册</w:t>
            </w:r>
          </w:p>
        </w:tc>
        <w:tc>
          <w:tcPr>
            <w:tcW w:w="162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责任编辑：吴梅香</w:t>
            </w:r>
          </w:p>
        </w:tc>
        <w:tc>
          <w:tcPr>
            <w:tcW w:w="234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福建人民出版社</w:t>
            </w:r>
          </w:p>
        </w:tc>
        <w:tc>
          <w:tcPr>
            <w:tcW w:w="414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2017年12月第2版 2019年12月第3次印刷</w:t>
            </w:r>
          </w:p>
        </w:tc>
      </w:tr>
      <w:tr>
        <w:tblPrEx>
          <w:tblCellMar>
            <w:top w:w="0" w:type="dxa"/>
            <w:left w:w="108" w:type="dxa"/>
            <w:bottom w:w="0" w:type="dxa"/>
            <w:right w:w="108" w:type="dxa"/>
          </w:tblCellMar>
        </w:tblPrEx>
        <w:trPr>
          <w:trHeight w:val="499" w:hRule="atLeast"/>
          <w:jc w:val="center"/>
        </w:trPr>
        <w:tc>
          <w:tcPr>
            <w:tcW w:w="72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18</w:t>
            </w:r>
          </w:p>
        </w:tc>
        <w:tc>
          <w:tcPr>
            <w:tcW w:w="146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0"/>
                <w:szCs w:val="20"/>
              </w:rPr>
            </w:pPr>
          </w:p>
        </w:tc>
        <w:tc>
          <w:tcPr>
            <w:tcW w:w="352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钢琴弹唱规定曲目</w:t>
            </w:r>
          </w:p>
        </w:tc>
        <w:tc>
          <w:tcPr>
            <w:tcW w:w="1850"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考生面试时由评委指定其中一首进行弹唱，弹唱歌曲第一段。</w:t>
            </w:r>
          </w:p>
        </w:tc>
        <w:tc>
          <w:tcPr>
            <w:tcW w:w="3960" w:type="dxa"/>
            <w:gridSpan w:val="2"/>
            <w:tcBorders>
              <w:top w:val="single" w:color="auto" w:sz="4" w:space="0"/>
              <w:bottom w:val="single" w:color="auto" w:sz="4" w:space="0"/>
            </w:tcBorders>
          </w:tcPr>
          <w:p>
            <w:pPr>
              <w:widowControl/>
              <w:jc w:val="left"/>
              <w:rPr>
                <w:rFonts w:ascii="宋体" w:hAnsi="宋体" w:cs="宋体"/>
                <w:kern w:val="0"/>
                <w:sz w:val="20"/>
                <w:szCs w:val="20"/>
              </w:rPr>
            </w:pPr>
            <w:r>
              <w:rPr>
                <w:rFonts w:hint="eastAsia" w:ascii="宋体" w:hAnsi="宋体" w:cs="宋体"/>
                <w:kern w:val="0"/>
                <w:sz w:val="20"/>
                <w:szCs w:val="20"/>
              </w:rPr>
              <w:t>1.《金钥匙之歌》；2.《爱心满天下》；3.《满天星》；4.《书香童年最幸福》；5.《暖阳》；</w:t>
            </w:r>
            <w:r>
              <w:rPr>
                <w:rFonts w:ascii="宋体" w:hAnsi="宋体" w:cs="宋体"/>
                <w:kern w:val="0"/>
                <w:sz w:val="20"/>
                <w:szCs w:val="20"/>
              </w:rPr>
              <w:t xml:space="preserve"> </w:t>
            </w:r>
            <w:r>
              <w:rPr>
                <w:rFonts w:hint="eastAsia" w:ascii="宋体" w:hAnsi="宋体" w:cs="宋体"/>
                <w:kern w:val="0"/>
                <w:sz w:val="20"/>
                <w:szCs w:val="20"/>
              </w:rPr>
              <w:t>6.《和爱一起成长》</w:t>
            </w:r>
          </w:p>
        </w:tc>
        <w:tc>
          <w:tcPr>
            <w:tcW w:w="4140"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1008" w:hRule="atLeast"/>
          <w:jc w:val="center"/>
        </w:trPr>
        <w:tc>
          <w:tcPr>
            <w:tcW w:w="15660" w:type="dxa"/>
            <w:gridSpan w:val="7"/>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szCs w:val="22"/>
              </w:rPr>
            </w:pPr>
            <w:r>
              <w:rPr>
                <w:rFonts w:hint="eastAsia" w:ascii="宋体" w:hAnsi="宋体" w:cs="宋体"/>
                <w:kern w:val="0"/>
                <w:sz w:val="22"/>
                <w:szCs w:val="22"/>
              </w:rPr>
              <w:t>备注：1.教师进修学校岗位教材同小学信息技术学科（福建省义务教育教科书（2020年修订版）·信息技术，五年级下册）；</w:t>
            </w:r>
            <w:r>
              <w:rPr>
                <w:rFonts w:ascii="宋体" w:hAnsi="宋体" w:cs="宋体"/>
                <w:kern w:val="0"/>
                <w:sz w:val="22"/>
                <w:szCs w:val="22"/>
              </w:rPr>
              <w:t xml:space="preserve"> </w:t>
            </w:r>
          </w:p>
          <w:p>
            <w:pPr>
              <w:ind w:firstLine="660" w:firstLineChars="300"/>
              <w:jc w:val="left"/>
              <w:rPr>
                <w:rFonts w:ascii="宋体" w:hAnsi="宋体" w:cs="宋体"/>
                <w:kern w:val="0"/>
                <w:sz w:val="24"/>
              </w:rPr>
            </w:pPr>
            <w:r>
              <w:rPr>
                <w:rFonts w:hint="eastAsia" w:ascii="宋体" w:hAnsi="宋体" w:cs="宋体"/>
                <w:kern w:val="0"/>
                <w:sz w:val="22"/>
                <w:szCs w:val="22"/>
              </w:rPr>
              <w:t>2.特教校和“三支一扶”岗位教材同小学品德与生活学科（义务教育教科书·道德与法治，五年级下册）。</w:t>
            </w:r>
          </w:p>
        </w:tc>
      </w:tr>
    </w:tbl>
    <w:p>
      <w:pPr>
        <w:spacing w:line="560" w:lineRule="exact"/>
        <w:rPr>
          <w:rFonts w:ascii="宋体" w:hAnsi="宋体"/>
          <w:sz w:val="28"/>
          <w:szCs w:val="28"/>
        </w:rPr>
        <w:sectPr>
          <w:pgSz w:w="16838" w:h="11906" w:orient="landscape"/>
          <w:pgMar w:top="1531" w:right="1134" w:bottom="1531" w:left="1134" w:header="851" w:footer="992" w:gutter="0"/>
          <w:pgNumType w:fmt="numberInDash"/>
          <w:cols w:space="720" w:num="1"/>
          <w:docGrid w:linePitch="312" w:charSpace="0"/>
        </w:sectPr>
      </w:pPr>
    </w:p>
    <w:p>
      <w:pPr>
        <w:spacing w:line="520" w:lineRule="exact"/>
        <w:jc w:val="left"/>
        <w:rPr>
          <w:rFonts w:ascii="仿宋" w:hAnsi="仿宋" w:eastAsia="仿宋"/>
          <w:sz w:val="32"/>
          <w:szCs w:val="32"/>
        </w:rPr>
      </w:pPr>
      <w:r>
        <w:rPr>
          <w:rFonts w:hint="eastAsia" w:ascii="黑体" w:hAnsi="仿宋" w:eastAsia="黑体"/>
          <w:sz w:val="32"/>
          <w:szCs w:val="32"/>
        </w:rPr>
        <w:t>附件2</w:t>
      </w:r>
      <w:r>
        <w:rPr>
          <w:rFonts w:hint="eastAsia" w:ascii="仿宋" w:hAnsi="仿宋" w:eastAsia="仿宋"/>
          <w:sz w:val="32"/>
          <w:szCs w:val="32"/>
        </w:rPr>
        <w:t xml:space="preserve">               </w:t>
      </w:r>
    </w:p>
    <w:p>
      <w:pPr>
        <w:spacing w:line="520" w:lineRule="exact"/>
        <w:jc w:val="left"/>
        <w:rPr>
          <w:rFonts w:ascii="方正小标宋简体" w:hAnsi="仿宋" w:eastAsia="方正小标宋简体"/>
          <w:sz w:val="32"/>
          <w:szCs w:val="32"/>
        </w:rPr>
      </w:pPr>
      <w:r>
        <w:rPr>
          <w:rFonts w:hint="eastAsia" w:ascii="仿宋" w:hAnsi="仿宋" w:eastAsia="仿宋"/>
          <w:sz w:val="32"/>
          <w:szCs w:val="32"/>
        </w:rPr>
        <w:t xml:space="preserve">                </w:t>
      </w:r>
      <w:r>
        <w:rPr>
          <w:rFonts w:hint="eastAsia" w:ascii="方正小标宋简体" w:hAnsi="仿宋" w:eastAsia="方正小标宋简体"/>
          <w:sz w:val="32"/>
          <w:szCs w:val="32"/>
        </w:rPr>
        <w:t>钢琴弹唱曲谱材料</w:t>
      </w:r>
    </w:p>
    <w:p>
      <w:pPr>
        <w:spacing w:line="520" w:lineRule="exact"/>
        <w:jc w:val="left"/>
        <w:rPr>
          <w:rFonts w:ascii="方正小标宋简体" w:hAnsi="仿宋" w:eastAsia="方正小标宋简体"/>
          <w:sz w:val="32"/>
          <w:szCs w:val="32"/>
        </w:rPr>
      </w:pP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r>
        <w:rPr>
          <w:rFonts w:ascii="方正小标宋简体" w:hAnsi="仿宋" w:eastAsia="方正小标宋简体"/>
          <w:color w:val="000000"/>
          <w:sz w:val="32"/>
          <w:szCs w:val="32"/>
        </w:rPr>
        <w:drawing>
          <wp:anchor distT="0" distB="0" distL="114300" distR="114300" simplePos="0" relativeHeight="251667456" behindDoc="0" locked="0" layoutInCell="1" allowOverlap="1">
            <wp:simplePos x="0" y="0"/>
            <wp:positionH relativeFrom="column">
              <wp:posOffset>13970</wp:posOffset>
            </wp:positionH>
            <wp:positionV relativeFrom="paragraph">
              <wp:posOffset>-6134735</wp:posOffset>
            </wp:positionV>
            <wp:extent cx="5612130" cy="6390005"/>
            <wp:effectExtent l="19050" t="0" r="7354" b="0"/>
            <wp:wrapNone/>
            <wp:docPr id="15" name="图片 2" descr="C:\Users\ADMINI~1.PC-\AppData\Local\Temp\360zip$Temp\360$2\和爱一起成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C:\Users\ADMINI~1.PC-\AppData\Local\Temp\360zip$Temp\360$2\和爱一起成长.jpg"/>
                    <pic:cNvPicPr>
                      <a:picLocks noChangeAspect="1" noChangeArrowheads="1"/>
                    </pic:cNvPicPr>
                  </pic:nvPicPr>
                  <pic:blipFill>
                    <a:blip r:embed="rId10" cstate="print"/>
                    <a:srcRect/>
                    <a:stretch>
                      <a:fillRect/>
                    </a:stretch>
                  </pic:blipFill>
                  <pic:spPr>
                    <a:xfrm>
                      <a:off x="0" y="0"/>
                      <a:ext cx="5612396" cy="6390168"/>
                    </a:xfrm>
                    <a:prstGeom prst="rect">
                      <a:avLst/>
                    </a:prstGeom>
                    <a:noFill/>
                    <a:ln w="9525">
                      <a:noFill/>
                      <a:miter lim="800000"/>
                      <a:headEnd/>
                      <a:tailEnd/>
                    </a:ln>
                  </pic:spPr>
                </pic:pic>
              </a:graphicData>
            </a:graphic>
          </wp:anchor>
        </w:drawing>
      </w: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r>
        <w:rPr>
          <w:rFonts w:ascii="方正小标宋简体" w:hAnsi="仿宋" w:eastAsia="方正小标宋简体"/>
          <w:color w:val="000000"/>
          <w:sz w:val="32"/>
          <w:szCs w:val="32"/>
        </w:rPr>
        <w:drawing>
          <wp:anchor distT="0" distB="0" distL="114300" distR="114300" simplePos="0" relativeHeight="251666432" behindDoc="0" locked="0" layoutInCell="1" allowOverlap="1">
            <wp:simplePos x="0" y="0"/>
            <wp:positionH relativeFrom="column">
              <wp:posOffset>24765</wp:posOffset>
            </wp:positionH>
            <wp:positionV relativeFrom="paragraph">
              <wp:posOffset>278765</wp:posOffset>
            </wp:positionV>
            <wp:extent cx="5481955" cy="8303895"/>
            <wp:effectExtent l="19050" t="0" r="4445" b="0"/>
            <wp:wrapNone/>
            <wp:docPr id="12" name="图片 1" descr="C:\Users\ADMINI~1.PC-\AppData\Local\Temp\360zip$Temp\360$0\爱心满天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C:\Users\ADMINI~1.PC-\AppData\Local\Temp\360zip$Temp\360$0\爱心满天下.jpg"/>
                    <pic:cNvPicPr>
                      <a:picLocks noChangeAspect="1" noChangeArrowheads="1"/>
                    </pic:cNvPicPr>
                  </pic:nvPicPr>
                  <pic:blipFill>
                    <a:blip r:embed="rId11" cstate="print"/>
                    <a:srcRect/>
                    <a:stretch>
                      <a:fillRect/>
                    </a:stretch>
                  </pic:blipFill>
                  <pic:spPr>
                    <a:xfrm>
                      <a:off x="0" y="0"/>
                      <a:ext cx="5481955" cy="8303895"/>
                    </a:xfrm>
                    <a:prstGeom prst="rect">
                      <a:avLst/>
                    </a:prstGeom>
                    <a:noFill/>
                    <a:ln w="9525">
                      <a:noFill/>
                      <a:miter lim="800000"/>
                      <a:headEnd/>
                      <a:tailEnd/>
                    </a:ln>
                  </pic:spPr>
                </pic:pic>
              </a:graphicData>
            </a:graphic>
          </wp:anchor>
        </w:drawing>
      </w: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p>
    <w:p>
      <w:pPr>
        <w:spacing w:line="520" w:lineRule="exact"/>
        <w:jc w:val="left"/>
        <w:rPr>
          <w:rFonts w:ascii="方正小标宋简体" w:hAnsi="仿宋" w:eastAsia="方正小标宋简体"/>
          <w:color w:val="000000"/>
          <w:sz w:val="32"/>
          <w:szCs w:val="32"/>
        </w:rPr>
      </w:pPr>
      <w:r>
        <w:rPr>
          <w:rFonts w:ascii="方正小标宋简体" w:hAnsi="仿宋" w:eastAsia="方正小标宋简体"/>
          <w:color w:val="000000"/>
          <w:sz w:val="32"/>
          <w:szCs w:val="32"/>
        </w:rPr>
        <w:drawing>
          <wp:anchor distT="0" distB="0" distL="114300" distR="114300" simplePos="0" relativeHeight="251668480" behindDoc="0" locked="0" layoutInCell="1" allowOverlap="1">
            <wp:simplePos x="0" y="0"/>
            <wp:positionH relativeFrom="column">
              <wp:posOffset>56515</wp:posOffset>
            </wp:positionH>
            <wp:positionV relativeFrom="paragraph">
              <wp:posOffset>831850</wp:posOffset>
            </wp:positionV>
            <wp:extent cx="5605780" cy="5146040"/>
            <wp:effectExtent l="19050" t="0" r="0" b="0"/>
            <wp:wrapNone/>
            <wp:docPr id="16" name="图片 3" descr="C:\Users\ADMINI~1.PC-\AppData\Local\Temp\360zip$Temp\360$3\金钥匙之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C:\Users\ADMINI~1.PC-\AppData\Local\Temp\360zip$Temp\360$3\金钥匙之歌.jpg"/>
                    <pic:cNvPicPr>
                      <a:picLocks noChangeAspect="1" noChangeArrowheads="1"/>
                    </pic:cNvPicPr>
                  </pic:nvPicPr>
                  <pic:blipFill>
                    <a:blip r:embed="rId12" cstate="print"/>
                    <a:srcRect/>
                    <a:stretch>
                      <a:fillRect/>
                    </a:stretch>
                  </pic:blipFill>
                  <pic:spPr>
                    <a:xfrm>
                      <a:off x="0" y="0"/>
                      <a:ext cx="5605573" cy="5146158"/>
                    </a:xfrm>
                    <a:prstGeom prst="rect">
                      <a:avLst/>
                    </a:prstGeom>
                    <a:noFill/>
                    <a:ln w="9525">
                      <a:noFill/>
                      <a:miter lim="800000"/>
                      <a:headEnd/>
                      <a:tailEnd/>
                    </a:ln>
                  </pic:spPr>
                </pic:pic>
              </a:graphicData>
            </a:graphic>
          </wp:anchor>
        </w:drawing>
      </w:r>
    </w:p>
    <w:p>
      <w:pPr>
        <w:spacing w:line="520" w:lineRule="exact"/>
        <w:jc w:val="left"/>
        <w:rPr>
          <w:rFonts w:ascii="方正小标宋简体" w:hAnsi="仿宋" w:eastAsia="方正小标宋简体"/>
          <w:color w:val="000000"/>
          <w:sz w:val="32"/>
          <w:szCs w:val="32"/>
        </w:rPr>
        <w:sectPr>
          <w:pgSz w:w="11906" w:h="16838"/>
          <w:pgMar w:top="1134" w:right="1531" w:bottom="1134" w:left="1531" w:header="851" w:footer="992" w:gutter="0"/>
          <w:pgNumType w:fmt="numberInDash"/>
          <w:cols w:space="720" w:num="1"/>
          <w:docGrid w:linePitch="312" w:charSpace="0"/>
        </w:sectPr>
      </w:pPr>
    </w:p>
    <w:p>
      <w:pPr>
        <w:widowControl/>
        <w:jc w:val="left"/>
        <w:rPr>
          <w:rFonts w:ascii="宋体" w:hAnsi="宋体" w:cs="宋体"/>
          <w:kern w:val="0"/>
          <w:sz w:val="24"/>
        </w:rPr>
      </w:pPr>
    </w:p>
    <w:p>
      <w:pPr>
        <w:widowControl/>
        <w:jc w:val="left"/>
        <w:rPr>
          <w:rFonts w:ascii="宋体" w:hAnsi="宋体" w:cs="宋体"/>
          <w:kern w:val="0"/>
          <w:sz w:val="24"/>
        </w:rPr>
      </w:pPr>
      <w:r>
        <w:rPr>
          <w:rFonts w:ascii="宋体" w:hAnsi="宋体" w:cs="宋体"/>
          <w:kern w:val="0"/>
          <w:sz w:val="24"/>
        </w:rPr>
        <w:drawing>
          <wp:inline distT="0" distB="0" distL="0" distR="0">
            <wp:extent cx="5539740" cy="6921500"/>
            <wp:effectExtent l="19050" t="0" r="3810" b="0"/>
            <wp:docPr id="17" name="图片 4" descr="C:\Users\ADMINI~1.PC-\AppData\Local\Temp\360zip$Temp\360$4\满天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C:\Users\ADMINI~1.PC-\AppData\Local\Temp\360zip$Temp\360$4\满天星.jpg"/>
                    <pic:cNvPicPr>
                      <a:picLocks noChangeAspect="1" noChangeArrowheads="1"/>
                    </pic:cNvPicPr>
                  </pic:nvPicPr>
                  <pic:blipFill>
                    <a:blip r:embed="rId13" cstate="print"/>
                    <a:srcRect/>
                    <a:stretch>
                      <a:fillRect/>
                    </a:stretch>
                  </pic:blipFill>
                  <pic:spPr>
                    <a:xfrm>
                      <a:off x="0" y="0"/>
                      <a:ext cx="5539740" cy="6921500"/>
                    </a:xfrm>
                    <a:prstGeom prst="rect">
                      <a:avLst/>
                    </a:prstGeom>
                    <a:noFill/>
                    <a:ln w="9525">
                      <a:noFill/>
                      <a:miter lim="800000"/>
                      <a:headEnd/>
                      <a:tailEnd/>
                    </a:ln>
                  </pic:spPr>
                </pic:pic>
              </a:graphicData>
            </a:graphic>
          </wp:inline>
        </w:drawing>
      </w:r>
    </w:p>
    <w:p/>
    <w:p/>
    <w:p/>
    <w:p/>
    <w:p/>
    <w:p/>
    <w:p/>
    <w:p/>
    <w:p/>
    <w:p/>
    <w:p/>
    <w:p/>
    <w:p/>
    <w:p/>
    <w:p/>
    <w:p>
      <w:r>
        <w:drawing>
          <wp:inline distT="0" distB="0" distL="0" distR="0">
            <wp:extent cx="5337810" cy="5837555"/>
            <wp:effectExtent l="19050" t="0" r="0" b="0"/>
            <wp:docPr id="18" name="图片 5" descr="C:\Users\ADMINI~1.PC-\AppData\Local\Temp\360zip$Temp\360$5\暖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C:\Users\ADMINI~1.PC-\AppData\Local\Temp\360zip$Temp\360$5\暖阳.jpg"/>
                    <pic:cNvPicPr>
                      <a:picLocks noChangeAspect="1" noChangeArrowheads="1"/>
                    </pic:cNvPicPr>
                  </pic:nvPicPr>
                  <pic:blipFill>
                    <a:blip r:embed="rId14" cstate="print"/>
                    <a:srcRect/>
                    <a:stretch>
                      <a:fillRect/>
                    </a:stretch>
                  </pic:blipFill>
                  <pic:spPr>
                    <a:xfrm>
                      <a:off x="0" y="0"/>
                      <a:ext cx="5337810" cy="5837555"/>
                    </a:xfrm>
                    <a:prstGeom prst="rect">
                      <a:avLst/>
                    </a:prstGeom>
                    <a:noFill/>
                    <a:ln w="9525">
                      <a:noFill/>
                      <a:miter lim="800000"/>
                      <a:headEnd/>
                      <a:tailEnd/>
                    </a:ln>
                  </pic:spPr>
                </pic:pic>
              </a:graphicData>
            </a:graphic>
          </wp:inline>
        </w:drawing>
      </w:r>
    </w:p>
    <w:p/>
    <w:p/>
    <w:p/>
    <w:p/>
    <w:p/>
    <w:p/>
    <w:p/>
    <w:p/>
    <w:p/>
    <w:p/>
    <w:p/>
    <w:p/>
    <w:p/>
    <w:p/>
    <w:p/>
    <w:p/>
    <w:p/>
    <w:p/>
    <w:p/>
    <w:p/>
    <w:p/>
    <w:p>
      <w:pPr>
        <w:sectPr>
          <w:pgSz w:w="11906" w:h="16838"/>
          <w:pgMar w:top="1134" w:right="1531" w:bottom="1134" w:left="1531" w:header="851" w:footer="992" w:gutter="0"/>
          <w:pgNumType w:fmt="numberInDash"/>
          <w:cols w:space="720" w:num="1"/>
          <w:docGrid w:linePitch="312" w:charSpace="0"/>
        </w:sectPr>
      </w:pPr>
      <w:r>
        <w:drawing>
          <wp:inline distT="0" distB="0" distL="0" distR="0">
            <wp:extent cx="5262880" cy="5497195"/>
            <wp:effectExtent l="19050" t="0" r="0" b="0"/>
            <wp:docPr id="19" name="图片 6" descr="C:\Users\ADMINI~1.PC-\AppData\Local\Temp\360zip$Temp\360$6\书香童年最幸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C:\Users\ADMINI~1.PC-\AppData\Local\Temp\360zip$Temp\360$6\书香童年最幸福.jpg"/>
                    <pic:cNvPicPr>
                      <a:picLocks noChangeAspect="1" noChangeArrowheads="1"/>
                    </pic:cNvPicPr>
                  </pic:nvPicPr>
                  <pic:blipFill>
                    <a:blip r:embed="rId15" cstate="print"/>
                    <a:srcRect/>
                    <a:stretch>
                      <a:fillRect/>
                    </a:stretch>
                  </pic:blipFill>
                  <pic:spPr>
                    <a:xfrm>
                      <a:off x="0" y="0"/>
                      <a:ext cx="5262880" cy="5497195"/>
                    </a:xfrm>
                    <a:prstGeom prst="rect">
                      <a:avLst/>
                    </a:prstGeom>
                    <a:noFill/>
                    <a:ln w="9525">
                      <a:noFill/>
                      <a:miter lim="800000"/>
                      <a:headEnd/>
                      <a:tailEnd/>
                    </a:ln>
                  </pic:spPr>
                </pic:pic>
              </a:graphicData>
            </a:graphic>
          </wp:inline>
        </w:drawing>
      </w:r>
    </w:p>
    <w:p>
      <w:pPr>
        <w:spacing w:line="500" w:lineRule="exact"/>
        <w:rPr>
          <w:rFonts w:ascii="黑体" w:hAnsi="仿宋" w:eastAsia="黑体"/>
          <w:sz w:val="32"/>
          <w:szCs w:val="32"/>
        </w:rPr>
      </w:pPr>
      <w:r>
        <w:rPr>
          <w:rFonts w:hint="eastAsia" w:ascii="黑体" w:hAnsi="仿宋" w:eastAsia="黑体"/>
          <w:sz w:val="32"/>
          <w:szCs w:val="32"/>
        </w:rPr>
        <w:t>附件3</w:t>
      </w:r>
    </w:p>
    <w:p>
      <w:pPr>
        <w:spacing w:line="500" w:lineRule="exact"/>
        <w:jc w:val="center"/>
        <w:rPr>
          <w:rFonts w:ascii="方正小标宋简体" w:hAnsi="仿宋" w:eastAsia="方正小标宋简体"/>
          <w:sz w:val="36"/>
          <w:szCs w:val="36"/>
        </w:rPr>
      </w:pPr>
      <w:r>
        <w:rPr>
          <w:rFonts w:hint="eastAsia" w:ascii="方正小标宋简体" w:hAnsi="仿宋" w:eastAsia="方正小标宋简体"/>
          <w:sz w:val="36"/>
          <w:szCs w:val="36"/>
        </w:rPr>
        <w:t>考生面试纪律及注意事项</w:t>
      </w:r>
    </w:p>
    <w:p>
      <w:pPr>
        <w:spacing w:line="500" w:lineRule="exact"/>
        <w:ind w:firstLine="480" w:firstLineChars="150"/>
        <w:rPr>
          <w:rFonts w:ascii="仿宋" w:hAnsi="仿宋" w:eastAsia="仿宋"/>
          <w:sz w:val="32"/>
          <w:szCs w:val="32"/>
        </w:rPr>
      </w:pPr>
    </w:p>
    <w:p>
      <w:pPr>
        <w:spacing w:line="500" w:lineRule="exact"/>
        <w:ind w:firstLine="480" w:firstLineChars="150"/>
        <w:rPr>
          <w:rFonts w:ascii="仿宋" w:hAnsi="仿宋" w:eastAsia="仿宋"/>
          <w:sz w:val="32"/>
          <w:szCs w:val="32"/>
        </w:rPr>
      </w:pPr>
      <w:r>
        <w:rPr>
          <w:rFonts w:hint="eastAsia" w:ascii="仿宋" w:hAnsi="仿宋" w:eastAsia="仿宋"/>
          <w:sz w:val="32"/>
          <w:szCs w:val="32"/>
        </w:rPr>
        <w:t>⒈面试考生要听从统一指挥，尊重面试工作人员，遵守面试程序，自觉接受工作人员的指导和管理；面试当天按规定时间携带笔试准考证、身份证等证件原件到考生集中室入闱签到，所有考生必须按时入闱不得迟到；迟到15分钟的，视同自动放弃面试。考生参加面试时，不得穿制服或其他带有特殊标志的服饰。</w:t>
      </w:r>
    </w:p>
    <w:p>
      <w:pPr>
        <w:spacing w:line="500" w:lineRule="exact"/>
        <w:ind w:firstLine="480" w:firstLineChars="150"/>
        <w:rPr>
          <w:rFonts w:ascii="仿宋" w:hAnsi="仿宋" w:eastAsia="仿宋"/>
          <w:sz w:val="32"/>
          <w:szCs w:val="32"/>
        </w:rPr>
      </w:pPr>
      <w:r>
        <w:rPr>
          <w:rFonts w:hint="eastAsia" w:ascii="仿宋" w:hAnsi="仿宋" w:eastAsia="仿宋"/>
          <w:sz w:val="32"/>
          <w:szCs w:val="32"/>
        </w:rPr>
        <w:t>⒉面试考生在抽签结束直至到面试，必须在候考室等候，不得擅自离开候考室。如确有需要离开到卫生间的，须有工作人员陪同；候考期间，应保持安静，不得喧哗。</w:t>
      </w:r>
    </w:p>
    <w:p>
      <w:pPr>
        <w:spacing w:line="500" w:lineRule="exact"/>
        <w:ind w:firstLine="480" w:firstLineChars="150"/>
        <w:rPr>
          <w:rFonts w:ascii="仿宋" w:hAnsi="仿宋" w:eastAsia="仿宋"/>
          <w:sz w:val="32"/>
          <w:szCs w:val="32"/>
        </w:rPr>
      </w:pPr>
      <w:r>
        <w:rPr>
          <w:rFonts w:hint="eastAsia" w:ascii="仿宋" w:hAnsi="仿宋" w:eastAsia="仿宋"/>
          <w:sz w:val="32"/>
          <w:szCs w:val="32"/>
        </w:rPr>
        <w:t>⒊面试结束后考生即可离开考点，不得在考场附近停留。</w:t>
      </w:r>
    </w:p>
    <w:p>
      <w:pPr>
        <w:spacing w:line="500" w:lineRule="exact"/>
        <w:ind w:firstLine="480" w:firstLineChars="150"/>
        <w:rPr>
          <w:rFonts w:ascii="仿宋" w:hAnsi="仿宋" w:eastAsia="仿宋"/>
          <w:sz w:val="32"/>
          <w:szCs w:val="32"/>
        </w:rPr>
      </w:pPr>
      <w:r>
        <w:rPr>
          <w:rFonts w:hint="eastAsia" w:ascii="仿宋" w:hAnsi="仿宋" w:eastAsia="仿宋"/>
          <w:sz w:val="32"/>
          <w:szCs w:val="32"/>
        </w:rPr>
        <w:t>⒋面试实行代码方式。参加面试人员在回答问题中，不得介绍（透露）本人姓名、单位、地址等可能暴露考生身份的信息，否则视为违纪，取消面试资格。</w:t>
      </w:r>
    </w:p>
    <w:p>
      <w:pPr>
        <w:spacing w:line="500" w:lineRule="exact"/>
        <w:ind w:firstLine="480" w:firstLineChars="150"/>
        <w:rPr>
          <w:rFonts w:ascii="仿宋" w:hAnsi="仿宋" w:eastAsia="仿宋"/>
          <w:sz w:val="32"/>
          <w:szCs w:val="32"/>
        </w:rPr>
      </w:pPr>
      <w:r>
        <w:rPr>
          <w:rFonts w:hint="eastAsia" w:ascii="仿宋" w:hAnsi="仿宋" w:eastAsia="仿宋"/>
          <w:sz w:val="32"/>
          <w:szCs w:val="32"/>
        </w:rPr>
        <w:t>⒌参加面试人员不得携带任何通讯工具和与面试有关的资料进入考场；面试答题完毕后，不得将草稿纸等带出考场。</w:t>
      </w:r>
    </w:p>
    <w:p>
      <w:pPr>
        <w:spacing w:line="500" w:lineRule="exact"/>
        <w:ind w:firstLine="480" w:firstLineChars="150"/>
        <w:rPr>
          <w:rFonts w:ascii="仿宋" w:hAnsi="仿宋" w:eastAsia="仿宋"/>
          <w:sz w:val="32"/>
          <w:szCs w:val="32"/>
        </w:rPr>
      </w:pPr>
      <w:r>
        <w:rPr>
          <w:rFonts w:hint="eastAsia" w:ascii="仿宋" w:hAnsi="仿宋" w:eastAsia="仿宋"/>
          <w:sz w:val="32"/>
          <w:szCs w:val="32"/>
        </w:rPr>
        <w:t>⒍严肃考试纪律。参加面试人员有下列情形之一的，取消其面试资格或面试成绩作无效处理。</w:t>
      </w:r>
    </w:p>
    <w:p>
      <w:pPr>
        <w:spacing w:line="500" w:lineRule="exact"/>
        <w:ind w:firstLine="480" w:firstLineChars="150"/>
        <w:rPr>
          <w:rFonts w:ascii="仿宋" w:hAnsi="仿宋" w:eastAsia="仿宋"/>
          <w:sz w:val="32"/>
          <w:szCs w:val="32"/>
        </w:rPr>
      </w:pPr>
      <w:r>
        <w:rPr>
          <w:rFonts w:hint="eastAsia" w:ascii="仿宋" w:hAnsi="仿宋" w:eastAsia="仿宋"/>
          <w:sz w:val="32"/>
          <w:szCs w:val="32"/>
        </w:rPr>
        <w:t>（1）未在规定时间上交通讯工具的；</w:t>
      </w:r>
    </w:p>
    <w:p>
      <w:pPr>
        <w:spacing w:line="500" w:lineRule="exact"/>
        <w:ind w:firstLine="480" w:firstLineChars="150"/>
        <w:rPr>
          <w:rFonts w:ascii="仿宋" w:hAnsi="仿宋" w:eastAsia="仿宋"/>
          <w:sz w:val="32"/>
          <w:szCs w:val="32"/>
        </w:rPr>
      </w:pPr>
      <w:r>
        <w:rPr>
          <w:rFonts w:hint="eastAsia" w:ascii="仿宋" w:hAnsi="仿宋" w:eastAsia="仿宋"/>
          <w:sz w:val="32"/>
          <w:szCs w:val="32"/>
        </w:rPr>
        <w:t>（2）将试题内容泄露给其他候考人员的；</w:t>
      </w:r>
    </w:p>
    <w:p>
      <w:pPr>
        <w:spacing w:line="500" w:lineRule="exact"/>
        <w:ind w:firstLine="480" w:firstLineChars="150"/>
        <w:rPr>
          <w:rFonts w:ascii="仿宋" w:hAnsi="仿宋" w:eastAsia="仿宋"/>
          <w:sz w:val="32"/>
          <w:szCs w:val="32"/>
        </w:rPr>
      </w:pPr>
      <w:r>
        <w:rPr>
          <w:rFonts w:hint="eastAsia" w:ascii="仿宋" w:hAnsi="仿宋" w:eastAsia="仿宋"/>
          <w:sz w:val="32"/>
          <w:szCs w:val="32"/>
        </w:rPr>
        <w:t>（3）由他人代考的；</w:t>
      </w:r>
    </w:p>
    <w:p>
      <w:pPr>
        <w:spacing w:line="500" w:lineRule="exact"/>
        <w:ind w:firstLine="480" w:firstLineChars="150"/>
        <w:rPr>
          <w:rFonts w:ascii="仿宋" w:hAnsi="仿宋" w:eastAsia="仿宋"/>
          <w:sz w:val="32"/>
          <w:szCs w:val="32"/>
        </w:rPr>
      </w:pPr>
      <w:r>
        <w:rPr>
          <w:rFonts w:hint="eastAsia" w:ascii="仿宋" w:hAnsi="仿宋" w:eastAsia="仿宋"/>
          <w:sz w:val="32"/>
          <w:szCs w:val="32"/>
        </w:rPr>
        <w:t>（4）不服从工作人员指挥或无理取闹的；</w:t>
      </w:r>
    </w:p>
    <w:p>
      <w:pPr>
        <w:spacing w:line="500" w:lineRule="exact"/>
        <w:ind w:firstLine="480" w:firstLineChars="150"/>
        <w:rPr>
          <w:rFonts w:ascii="仿宋" w:hAnsi="仿宋" w:eastAsia="仿宋"/>
          <w:sz w:val="32"/>
          <w:szCs w:val="32"/>
        </w:rPr>
      </w:pPr>
      <w:r>
        <w:rPr>
          <w:rFonts w:hint="eastAsia" w:ascii="仿宋" w:hAnsi="仿宋" w:eastAsia="仿宋"/>
          <w:sz w:val="32"/>
          <w:szCs w:val="32"/>
        </w:rPr>
        <w:t>（5）扰乱面试考场及有关面试工作场所秩序的；</w:t>
      </w:r>
    </w:p>
    <w:p>
      <w:pPr>
        <w:spacing w:line="500" w:lineRule="exact"/>
        <w:ind w:firstLine="480" w:firstLineChars="150"/>
        <w:rPr>
          <w:rFonts w:ascii="仿宋" w:hAnsi="仿宋" w:eastAsia="仿宋"/>
          <w:sz w:val="32"/>
          <w:szCs w:val="32"/>
        </w:rPr>
      </w:pPr>
      <w:r>
        <w:rPr>
          <w:rFonts w:hint="eastAsia" w:ascii="仿宋" w:hAnsi="仿宋" w:eastAsia="仿宋"/>
          <w:sz w:val="32"/>
          <w:szCs w:val="32"/>
        </w:rPr>
        <w:t>（6）有其它违纪舞弊行为的。</w:t>
      </w:r>
    </w:p>
    <w:p>
      <w:pPr>
        <w:spacing w:line="500" w:lineRule="exact"/>
        <w:ind w:firstLine="480" w:firstLineChars="150"/>
        <w:rPr>
          <w:rFonts w:ascii="仿宋" w:hAnsi="仿宋" w:eastAsia="仿宋"/>
          <w:sz w:val="32"/>
          <w:szCs w:val="32"/>
        </w:rPr>
      </w:pPr>
      <w:r>
        <w:rPr>
          <w:rFonts w:hint="eastAsia" w:ascii="仿宋" w:hAnsi="仿宋" w:eastAsia="仿宋"/>
          <w:sz w:val="32"/>
          <w:szCs w:val="32"/>
        </w:rPr>
        <w:t>⒎考生面试结束待计分后，随之告知本人面试成绩，全部面试结束后，总成绩和各岗位名次在</w:t>
      </w:r>
      <w:r>
        <w:rPr>
          <w:rFonts w:hint="eastAsia" w:ascii="仿宋" w:hAnsi="仿宋" w:eastAsia="仿宋"/>
          <w:color w:val="000000"/>
          <w:sz w:val="32"/>
          <w:szCs w:val="32"/>
        </w:rPr>
        <w:t>福鼎市人民政府网</w:t>
      </w:r>
      <w:r>
        <w:rPr>
          <w:rFonts w:hint="eastAsia" w:ascii="仿宋" w:hAnsi="仿宋" w:eastAsia="仿宋"/>
          <w:sz w:val="32"/>
          <w:szCs w:val="32"/>
        </w:rPr>
        <w:t>发布。</w:t>
      </w:r>
    </w:p>
    <w:p>
      <w:pPr>
        <w:spacing w:line="500" w:lineRule="exact"/>
        <w:ind w:firstLine="480" w:firstLineChars="150"/>
        <w:rPr>
          <w:rFonts w:ascii="仿宋" w:hAnsi="仿宋" w:eastAsia="仿宋"/>
          <w:sz w:val="32"/>
          <w:szCs w:val="32"/>
        </w:rPr>
      </w:pPr>
    </w:p>
    <w:p>
      <w:pPr>
        <w:sectPr>
          <w:pgSz w:w="11906" w:h="16838"/>
          <w:pgMar w:top="1134" w:right="1531" w:bottom="1134" w:left="1531" w:header="851" w:footer="992" w:gutter="0"/>
          <w:pgNumType w:fmt="numberInDash"/>
          <w:cols w:space="720" w:num="1"/>
          <w:docGrid w:linePitch="312" w:charSpace="0"/>
        </w:sectPr>
      </w:pPr>
    </w:p>
    <w:p>
      <w:pPr>
        <w:jc w:val="left"/>
        <w:rPr>
          <w:rFonts w:ascii="黑体" w:hAnsi="黑体" w:eastAsia="黑体" w:cs="宋体"/>
          <w:bCs/>
          <w:sz w:val="32"/>
          <w:szCs w:val="32"/>
        </w:rPr>
      </w:pPr>
      <w:r>
        <w:rPr>
          <w:rFonts w:hint="eastAsia" w:ascii="黑体" w:hAnsi="黑体" w:eastAsia="黑体" w:cs="宋体"/>
          <w:bCs/>
          <w:sz w:val="32"/>
          <w:szCs w:val="32"/>
        </w:rPr>
        <w:t>附件4</w:t>
      </w:r>
    </w:p>
    <w:p>
      <w:pPr>
        <w:jc w:val="center"/>
        <w:rPr>
          <w:rFonts w:ascii="宋体" w:hAnsi="宋体" w:cs="宋体"/>
          <w:b/>
          <w:bCs/>
          <w:sz w:val="32"/>
          <w:szCs w:val="32"/>
        </w:rPr>
      </w:pPr>
      <w:r>
        <w:rPr>
          <w:rFonts w:hint="eastAsia" w:ascii="宋体" w:hAnsi="宋体" w:cs="宋体"/>
          <w:b/>
          <w:bCs/>
          <w:sz w:val="32"/>
          <w:szCs w:val="32"/>
        </w:rPr>
        <w:t>福鼎市新任教师招聘考试考生健康申明卡及安全考试承诺书</w:t>
      </w:r>
    </w:p>
    <w:p>
      <w:pPr>
        <w:rPr>
          <w:b/>
          <w:bCs/>
        </w:rPr>
      </w:pPr>
    </w:p>
    <w:p>
      <w:pPr>
        <w:spacing w:line="520" w:lineRule="exact"/>
        <w:rPr>
          <w:rFonts w:ascii="宋体" w:hAnsi="宋体" w:cs="宋体"/>
          <w:szCs w:val="21"/>
          <w:u w:val="single"/>
        </w:rPr>
      </w:pPr>
      <w:r>
        <w:rPr>
          <w:rFonts w:hint="eastAsia" w:ascii="宋体" w:hAnsi="宋体" w:cs="宋体"/>
          <w:szCs w:val="21"/>
        </w:rPr>
        <w:t>姓名:</w:t>
      </w:r>
      <w:r>
        <w:rPr>
          <w:rFonts w:hint="eastAsia" w:ascii="宋体" w:hAnsi="宋体" w:cs="宋体"/>
          <w:szCs w:val="21"/>
          <w:u w:val="single"/>
        </w:rPr>
        <w:t xml:space="preserve">                      </w:t>
      </w:r>
      <w:r>
        <w:rPr>
          <w:rFonts w:hint="eastAsia" w:ascii="宋体" w:hAnsi="宋体" w:cs="宋体"/>
          <w:szCs w:val="21"/>
        </w:rPr>
        <w:t>性别：</w:t>
      </w:r>
      <w:r>
        <w:rPr>
          <w:rFonts w:hint="eastAsia" w:ascii="宋体" w:hAnsi="宋体" w:cs="宋体"/>
          <w:szCs w:val="21"/>
          <w:u w:val="single"/>
        </w:rPr>
        <w:t xml:space="preserve">             </w:t>
      </w:r>
      <w:r>
        <w:rPr>
          <w:rFonts w:hint="eastAsia" w:ascii="宋体" w:hAnsi="宋体" w:cs="宋体"/>
          <w:szCs w:val="21"/>
        </w:rPr>
        <w:t xml:space="preserve">  联系电话：</w:t>
      </w:r>
      <w:r>
        <w:rPr>
          <w:rFonts w:hint="eastAsia" w:ascii="宋体" w:hAnsi="宋体" w:cs="宋体"/>
          <w:szCs w:val="21"/>
          <w:u w:val="single"/>
        </w:rPr>
        <w:t xml:space="preserve">                      </w:t>
      </w:r>
    </w:p>
    <w:p>
      <w:pPr>
        <w:spacing w:line="520" w:lineRule="exact"/>
        <w:rPr>
          <w:rFonts w:ascii="宋体" w:hAnsi="宋体" w:cs="宋体"/>
          <w:szCs w:val="21"/>
          <w:u w:val="single"/>
        </w:rPr>
      </w:pPr>
      <w:r>
        <w:rPr>
          <w:rFonts w:hint="eastAsia" w:ascii="宋体" w:hAnsi="宋体" w:cs="宋体"/>
          <w:szCs w:val="21"/>
        </w:rPr>
        <w:t>应聘岗位:</w:t>
      </w:r>
      <w:r>
        <w:rPr>
          <w:rFonts w:hint="eastAsia" w:ascii="宋体" w:hAnsi="宋体" w:cs="宋体"/>
          <w:szCs w:val="21"/>
          <w:u w:val="single"/>
        </w:rPr>
        <w:t xml:space="preserve">                                 </w:t>
      </w:r>
      <w:r>
        <w:rPr>
          <w:rFonts w:hint="eastAsia" w:ascii="宋体" w:hAnsi="宋体" w:cs="宋体"/>
          <w:szCs w:val="21"/>
        </w:rPr>
        <w:t>身份证号：</w:t>
      </w:r>
      <w:r>
        <w:rPr>
          <w:rFonts w:hint="eastAsia" w:ascii="宋体" w:hAnsi="宋体" w:cs="宋体"/>
          <w:szCs w:val="21"/>
          <w:u w:val="single"/>
        </w:rPr>
        <w:t xml:space="preserve">                             </w:t>
      </w:r>
    </w:p>
    <w:p>
      <w:pPr>
        <w:spacing w:line="520" w:lineRule="exact"/>
        <w:rPr>
          <w:rFonts w:ascii="宋体" w:hAnsi="宋体" w:cs="宋体"/>
          <w:szCs w:val="21"/>
        </w:rPr>
      </w:pPr>
      <w:r>
        <w:rPr>
          <w:rFonts w:hint="eastAsia" w:ascii="宋体" w:hAnsi="宋体" w:cs="宋体"/>
          <w:szCs w:val="21"/>
        </w:rPr>
        <w:t>本人过去14日内住址（请详细填写，住址请具体到街道社区及门牌号或宾馆地址）：</w:t>
      </w:r>
    </w:p>
    <w:p>
      <w:pPr>
        <w:spacing w:line="520" w:lineRule="exact"/>
        <w:rPr>
          <w:rFonts w:ascii="宋体" w:hAnsi="宋体" w:cs="宋体"/>
          <w:szCs w:val="21"/>
          <w:u w:val="single"/>
        </w:rPr>
      </w:pPr>
      <w:r>
        <w:rPr>
          <w:rFonts w:hint="eastAsia" w:ascii="宋体" w:hAnsi="宋体" w:cs="宋体"/>
          <w:szCs w:val="21"/>
          <w:u w:val="single"/>
        </w:rPr>
        <w:t xml:space="preserve">                                                                      </w:t>
      </w:r>
    </w:p>
    <w:p>
      <w:pPr>
        <w:spacing w:line="520" w:lineRule="exact"/>
        <w:rPr>
          <w:rFonts w:ascii="宋体" w:hAnsi="宋体" w:cs="宋体"/>
          <w:szCs w:val="21"/>
        </w:rPr>
      </w:pPr>
      <w:r>
        <w:rPr>
          <w:rFonts w:hint="eastAsia" w:ascii="宋体" w:hAnsi="宋体" w:cs="宋体"/>
          <w:szCs w:val="21"/>
        </w:rPr>
        <w:t>1.本人过去14日内，是否出现发热、干咳、乏力、鼻塞、流涕、咽痛、腹泻等症状。口是口否</w:t>
      </w:r>
    </w:p>
    <w:p>
      <w:pPr>
        <w:spacing w:line="520" w:lineRule="exact"/>
        <w:rPr>
          <w:rFonts w:ascii="宋体" w:hAnsi="宋体" w:cs="宋体"/>
          <w:szCs w:val="21"/>
        </w:rPr>
      </w:pPr>
      <w:r>
        <w:rPr>
          <w:rFonts w:hint="eastAsia" w:ascii="宋体" w:hAnsi="宋体" w:cs="宋体"/>
          <w:szCs w:val="21"/>
        </w:rPr>
        <w:t>2.本人是否属于新冠肺炎确诊病例、无症状感染者。                             口是口否</w:t>
      </w:r>
    </w:p>
    <w:p>
      <w:pPr>
        <w:spacing w:line="520" w:lineRule="exact"/>
        <w:rPr>
          <w:rFonts w:ascii="宋体" w:hAnsi="宋体" w:cs="宋体"/>
          <w:szCs w:val="21"/>
        </w:rPr>
      </w:pPr>
      <w:r>
        <w:rPr>
          <w:rFonts w:hint="eastAsia" w:ascii="宋体" w:hAnsi="宋体" w:cs="宋体"/>
          <w:szCs w:val="21"/>
        </w:rPr>
        <w:t>3.本人过去14日内，是否在居住地有被隔离或曾被隔离且末做核酸检测。          口是口否</w:t>
      </w:r>
    </w:p>
    <w:p>
      <w:pPr>
        <w:spacing w:line="520" w:lineRule="exact"/>
        <w:rPr>
          <w:rFonts w:ascii="宋体" w:hAnsi="宋体" w:cs="宋体"/>
          <w:szCs w:val="21"/>
        </w:rPr>
      </w:pPr>
      <w:r>
        <w:rPr>
          <w:rFonts w:hint="eastAsia" w:ascii="宋体" w:hAnsi="宋体" w:cs="宋体"/>
          <w:szCs w:val="21"/>
        </w:rPr>
        <w:t>4.本人过去14日内，是否从省外高、中风险地区入闽。                          口是口否</w:t>
      </w:r>
    </w:p>
    <w:p>
      <w:pPr>
        <w:spacing w:line="520" w:lineRule="exact"/>
        <w:rPr>
          <w:rFonts w:ascii="宋体" w:hAnsi="宋体" w:cs="宋体"/>
          <w:szCs w:val="21"/>
        </w:rPr>
      </w:pPr>
      <w:r>
        <w:rPr>
          <w:rFonts w:hint="eastAsia" w:ascii="宋体" w:hAnsi="宋体" w:cs="宋体"/>
          <w:szCs w:val="21"/>
        </w:rPr>
        <w:t>5.本人疫情期间是否从境外(含港澳台)入闽。                                   口是口否</w:t>
      </w:r>
    </w:p>
    <w:p>
      <w:pPr>
        <w:spacing w:line="520" w:lineRule="exact"/>
        <w:rPr>
          <w:rFonts w:ascii="宋体" w:hAnsi="宋体" w:cs="宋体"/>
          <w:szCs w:val="21"/>
        </w:rPr>
      </w:pPr>
      <w:r>
        <w:rPr>
          <w:rFonts w:hint="eastAsia" w:ascii="宋体" w:hAnsi="宋体" w:cs="宋体"/>
          <w:szCs w:val="21"/>
        </w:rPr>
        <w:t>6.本人过去14日内是否与新冠肺炎确诊病例、疑似病例或已发现无症状感染者有接触史。</w:t>
      </w:r>
    </w:p>
    <w:p>
      <w:pPr>
        <w:spacing w:line="520" w:lineRule="exact"/>
        <w:ind w:firstLine="7980" w:firstLineChars="3800"/>
        <w:rPr>
          <w:rFonts w:ascii="宋体" w:hAnsi="宋体" w:cs="宋体"/>
          <w:szCs w:val="21"/>
        </w:rPr>
      </w:pPr>
      <w:r>
        <w:rPr>
          <w:rFonts w:hint="eastAsia" w:ascii="宋体" w:hAnsi="宋体" w:cs="宋体"/>
          <w:szCs w:val="21"/>
        </w:rPr>
        <w:t>口是口否</w:t>
      </w:r>
    </w:p>
    <w:p>
      <w:pPr>
        <w:spacing w:line="520" w:lineRule="exact"/>
        <w:rPr>
          <w:rFonts w:ascii="宋体" w:hAnsi="宋体" w:cs="宋体"/>
          <w:szCs w:val="21"/>
        </w:rPr>
      </w:pPr>
      <w:r>
        <w:rPr>
          <w:rFonts w:hint="eastAsia" w:ascii="宋体" w:hAnsi="宋体" w:cs="宋体"/>
          <w:szCs w:val="21"/>
        </w:rPr>
        <w:t>7.本人过去14日内是否与来自境外(含港澳台)人员有接触史。                     口是口否</w:t>
      </w:r>
    </w:p>
    <w:p>
      <w:pPr>
        <w:spacing w:line="520" w:lineRule="exact"/>
        <w:rPr>
          <w:rFonts w:ascii="宋体" w:hAnsi="宋体" w:cs="宋体"/>
          <w:szCs w:val="21"/>
        </w:rPr>
      </w:pPr>
      <w:r>
        <w:rPr>
          <w:rFonts w:hint="eastAsia" w:ascii="宋体" w:hAnsi="宋体" w:cs="宋体"/>
          <w:szCs w:val="21"/>
        </w:rPr>
        <w:t>8.过去14日内，本人的工作(实习)岗位是否属于医疗机构医务人员、公共场所服务人员、口岸检疫排查人员、公共交通驾驶员、铁路航空乘务人员。                              口是口否</w:t>
      </w:r>
    </w:p>
    <w:p>
      <w:pPr>
        <w:spacing w:line="520" w:lineRule="exact"/>
        <w:rPr>
          <w:rFonts w:ascii="宋体" w:hAnsi="宋体" w:cs="宋体"/>
          <w:szCs w:val="21"/>
        </w:rPr>
      </w:pPr>
      <w:r>
        <w:rPr>
          <w:rFonts w:hint="eastAsia" w:ascii="宋体" w:hAnsi="宋体" w:cs="宋体"/>
          <w:szCs w:val="21"/>
        </w:rPr>
        <w:t>9.本人“八闽健康码”是否为橙码。                                            口是口否</w:t>
      </w:r>
    </w:p>
    <w:p>
      <w:pPr>
        <w:spacing w:line="520" w:lineRule="exact"/>
        <w:rPr>
          <w:rFonts w:ascii="宋体" w:hAnsi="宋体" w:cs="宋体"/>
          <w:szCs w:val="21"/>
        </w:rPr>
      </w:pPr>
      <w:r>
        <w:rPr>
          <w:rFonts w:hint="eastAsia" w:ascii="宋体" w:hAnsi="宋体" w:cs="宋体"/>
          <w:szCs w:val="21"/>
        </w:rPr>
        <w:t>10.共同居住家庭成员中是否有上述1至7的情况。                               口是口否</w:t>
      </w:r>
    </w:p>
    <w:p>
      <w:pPr>
        <w:spacing w:line="520" w:lineRule="exact"/>
        <w:ind w:firstLine="482" w:firstLineChars="200"/>
        <w:rPr>
          <w:rFonts w:ascii="宋体" w:hAnsi="宋体" w:cs="宋体"/>
          <w:b/>
          <w:bCs/>
          <w:sz w:val="24"/>
        </w:rPr>
      </w:pPr>
      <w:r>
        <w:rPr>
          <w:rFonts w:hint="eastAsia" w:ascii="宋体" w:hAnsi="宋体" w:cs="宋体"/>
          <w:b/>
          <w:bCs/>
          <w:sz w:val="24"/>
        </w:rPr>
        <w:t>提示:以上项目中如有“是”的或</w:t>
      </w:r>
      <w:r>
        <w:rPr>
          <w:rFonts w:hint="eastAsia" w:ascii="宋体" w:hAnsi="宋体" w:cs="宋体"/>
          <w:b/>
          <w:bCs/>
          <w:color w:val="333333"/>
          <w:spacing w:val="7"/>
          <w:sz w:val="24"/>
          <w:shd w:val="clear" w:color="auto" w:fill="FFFFFF"/>
        </w:rPr>
        <w:t>无法申领到“八闽健康码”的考生</w:t>
      </w:r>
      <w:r>
        <w:rPr>
          <w:rFonts w:hint="eastAsia" w:ascii="宋体" w:hAnsi="宋体" w:cs="宋体"/>
          <w:b/>
          <w:bCs/>
          <w:sz w:val="24"/>
        </w:rPr>
        <w:t>，考试报到时，必须携带考前7天内新型冠状病毒检测阴性的报告单（证明）。</w:t>
      </w:r>
    </w:p>
    <w:p>
      <w:pPr>
        <w:spacing w:line="520" w:lineRule="exact"/>
        <w:ind w:firstLine="420" w:firstLineChars="200"/>
        <w:rPr>
          <w:rFonts w:ascii="宋体" w:hAnsi="宋体" w:cs="宋体"/>
          <w:szCs w:val="21"/>
        </w:rPr>
      </w:pPr>
      <w:r>
        <w:rPr>
          <w:rFonts w:hint="eastAsia" w:ascii="宋体" w:hAnsi="宋体" w:cs="宋体"/>
          <w:szCs w:val="21"/>
        </w:rPr>
        <w:t>本人承诺:我已如实逐项填报健康申明卡，如因隐瞒或虚假填报引起检疫传染病传播或者有传播严重危险而影响公共安全的后果，本人将承担相应的法律责任，自愿接受《中华人民共和国刑法》《治安管理处罚法》《传染病防治法》和《关于依法惩治妨害新型冠状病毒感染肺炎疫情防控违法犯罪的意见》等法律法规的处罚和制裁。</w:t>
      </w:r>
    </w:p>
    <w:p>
      <w:pPr>
        <w:spacing w:line="520" w:lineRule="exact"/>
        <w:ind w:firstLine="420" w:firstLineChars="200"/>
        <w:rPr>
          <w:rFonts w:ascii="宋体" w:hAnsi="宋体" w:cs="宋体"/>
          <w:szCs w:val="21"/>
        </w:rPr>
      </w:pPr>
    </w:p>
    <w:p>
      <w:pPr>
        <w:spacing w:line="520" w:lineRule="exact"/>
        <w:ind w:firstLine="420" w:firstLineChars="200"/>
        <w:rPr>
          <w:rFonts w:ascii="宋体" w:hAnsi="宋体" w:cs="宋体"/>
          <w:szCs w:val="21"/>
        </w:rPr>
      </w:pPr>
      <w:r>
        <w:rPr>
          <w:rFonts w:hint="eastAsia" w:ascii="宋体" w:hAnsi="宋体" w:cs="宋体"/>
          <w:szCs w:val="21"/>
        </w:rPr>
        <w:t>考生本人签名:                                 填写日期:</w:t>
      </w:r>
    </w:p>
    <w:p>
      <w:pPr>
        <w:spacing w:line="520" w:lineRule="exact"/>
        <w:jc w:val="left"/>
        <w:textAlignment w:val="baseline"/>
        <w:rPr>
          <w:rFonts w:ascii="黑体" w:hAnsi="黑体" w:eastAsia="黑体"/>
          <w:sz w:val="32"/>
          <w:szCs w:val="32"/>
        </w:rPr>
      </w:pPr>
      <w:r>
        <w:rPr>
          <w:rFonts w:hint="eastAsia" w:ascii="黑体" w:hAnsi="黑体" w:eastAsia="黑体"/>
          <w:sz w:val="32"/>
          <w:szCs w:val="32"/>
        </w:rPr>
        <w:t>附件5</w:t>
      </w:r>
    </w:p>
    <w:p>
      <w:pPr>
        <w:spacing w:line="58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组织面试工作疫情防控基本要求</w:t>
      </w:r>
    </w:p>
    <w:p>
      <w:pPr>
        <w:spacing w:line="580" w:lineRule="exact"/>
        <w:ind w:firstLine="640" w:firstLineChars="200"/>
        <w:rPr>
          <w:rFonts w:ascii="仿宋_GB2312" w:hAnsi="仿宋_GB2312" w:cs="仿宋_GB2312"/>
          <w:sz w:val="32"/>
          <w:szCs w:val="32"/>
        </w:rPr>
      </w:pPr>
    </w:p>
    <w:p>
      <w:pPr>
        <w:spacing w:line="560" w:lineRule="exact"/>
        <w:ind w:firstLine="640" w:firstLineChars="200"/>
        <w:rPr>
          <w:rFonts w:ascii="仿宋" w:hAnsi="仿宋" w:eastAsia="仿宋"/>
          <w:sz w:val="32"/>
          <w:szCs w:val="32"/>
        </w:rPr>
      </w:pPr>
      <w:r>
        <w:rPr>
          <w:rFonts w:hint="eastAsia" w:ascii="仿宋" w:hAnsi="仿宋" w:eastAsia="仿宋" w:cs="仿宋_GB2312"/>
          <w:sz w:val="32"/>
          <w:szCs w:val="32"/>
        </w:rPr>
        <w:t>1.</w:t>
      </w:r>
      <w:r>
        <w:rPr>
          <w:rFonts w:hint="eastAsia" w:ascii="仿宋" w:hAnsi="仿宋" w:eastAsia="仿宋"/>
          <w:sz w:val="32"/>
          <w:szCs w:val="32"/>
        </w:rPr>
        <w:t>对来自高中风险地区或有旅居史、境外返回、有境外人员接触史或有疑似症状等情况的考生；考前14天在居住地有被隔离或曾被隔离且未做过核酸检测的考生；共同居住家庭成员中有以上情况的考生；考前14天工作（实习）岗位属于医疗机构医务人员、公共场所服务人员、口岸检疫排查人员、公共交通驾驶员、铁路航空乘务人员的考生，以及考前14天体温异常的考生，须进行核酸检测，面试报到时，应携带面试前7天内核酸检测阴性报告单（证明）。</w:t>
      </w:r>
    </w:p>
    <w:p>
      <w:pPr>
        <w:spacing w:line="560" w:lineRule="exact"/>
        <w:ind w:firstLine="640" w:firstLineChars="200"/>
        <w:rPr>
          <w:rFonts w:ascii="仿宋" w:hAnsi="仿宋" w:eastAsia="仿宋"/>
          <w:sz w:val="32"/>
          <w:szCs w:val="32"/>
        </w:rPr>
      </w:pPr>
      <w:r>
        <w:rPr>
          <w:rFonts w:hint="eastAsia" w:ascii="仿宋" w:hAnsi="仿宋" w:eastAsia="仿宋" w:cs="仿宋_GB2312"/>
          <w:sz w:val="32"/>
          <w:szCs w:val="32"/>
        </w:rPr>
        <w:t>2.对所有面试工作人员进行健康状况监测。要</w:t>
      </w:r>
      <w:r>
        <w:rPr>
          <w:rFonts w:hint="eastAsia" w:ascii="仿宋" w:hAnsi="仿宋" w:eastAsia="仿宋" w:cs="仿宋_GB2312"/>
          <w:sz w:val="32"/>
          <w:szCs w:val="32"/>
          <w:shd w:val="clear" w:color="auto" w:fill="FFFFFF"/>
        </w:rPr>
        <w:t>逐一排查、全面摸清全体面试工作人员参加面试工作前14天的健康状况和旅居史、接触史、疾病史，以及与境外返回人员接触情况，坚决杜绝任何人带病带隐患进入面试场所。</w:t>
      </w:r>
      <w:r>
        <w:rPr>
          <w:rFonts w:hint="eastAsia" w:ascii="仿宋" w:hAnsi="仿宋" w:eastAsia="仿宋" w:cs="仿宋_GB2312"/>
          <w:sz w:val="32"/>
          <w:szCs w:val="32"/>
        </w:rPr>
        <w:t>安排专人负责对所有参与面试的工作人员进行体温和“八闽健康码”信息监测、登记工作。</w:t>
      </w:r>
      <w:r>
        <w:rPr>
          <w:rFonts w:hint="eastAsia" w:ascii="仿宋" w:hAnsi="仿宋" w:eastAsia="仿宋" w:cs="仿宋_GB2312"/>
          <w:sz w:val="32"/>
          <w:szCs w:val="32"/>
          <w:shd w:val="clear" w:color="auto" w:fill="FFFFFF"/>
        </w:rPr>
        <w:t>参加面试工作</w:t>
      </w:r>
      <w:r>
        <w:rPr>
          <w:rFonts w:hint="eastAsia" w:ascii="仿宋" w:hAnsi="仿宋" w:eastAsia="仿宋"/>
          <w:sz w:val="32"/>
          <w:szCs w:val="32"/>
        </w:rPr>
        <w:t>前3天内有发热症状的不得参与面试工作。面试期间，如果有发热等身体异常的面试工作人员应立即停止其工作，按照规定流程就医，并安排其他工作人员顶岗。</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3.考生或面试工作人员不如实报告健康状况、不配合开展卫生防疫工作等情形，造成严重后果的，将根据相关法律法规追究责任。</w:t>
      </w:r>
    </w:p>
    <w:p>
      <w:pPr>
        <w:spacing w:line="560" w:lineRule="exact"/>
        <w:ind w:firstLine="720"/>
        <w:rPr>
          <w:rFonts w:ascii="仿宋" w:hAnsi="仿宋" w:eastAsia="仿宋" w:cs="仿宋_GB2312"/>
          <w:sz w:val="32"/>
          <w:szCs w:val="32"/>
        </w:rPr>
      </w:pPr>
      <w:r>
        <w:rPr>
          <w:rFonts w:hint="eastAsia" w:ascii="仿宋" w:hAnsi="仿宋" w:eastAsia="仿宋" w:cs="仿宋"/>
          <w:sz w:val="32"/>
          <w:szCs w:val="32"/>
        </w:rPr>
        <w:t>4.要选择通风、卫生、条件较好的教室或场地作为考场，并做好降温、防暑</w:t>
      </w:r>
      <w:r>
        <w:rPr>
          <w:rFonts w:hint="eastAsia" w:ascii="仿宋" w:hAnsi="仿宋" w:eastAsia="仿宋" w:cs="仿宋_GB2312"/>
          <w:sz w:val="32"/>
          <w:szCs w:val="32"/>
        </w:rPr>
        <w:t>工作。</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5.设置体温检测点。在考生和面试工作人员进入考点的入口处设体温检测点，对所有进入考点人员进行体温测量。</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6.面试场所实行封闭式管理，并指定专人负责，做到区域划分合理，人员登记排查记录齐全，与面试无关人员一律不准进入考点。面试场所须制定考试入场流程，安排人员现场引导考生有序入场，考生之间应保持1米以上距离。</w:t>
      </w:r>
    </w:p>
    <w:p>
      <w:pPr>
        <w:spacing w:line="560" w:lineRule="exact"/>
        <w:ind w:firstLine="640" w:firstLineChars="200"/>
        <w:rPr>
          <w:rFonts w:ascii="仿宋" w:hAnsi="仿宋" w:eastAsia="仿宋"/>
          <w:sz w:val="32"/>
          <w:szCs w:val="32"/>
        </w:rPr>
      </w:pPr>
      <w:r>
        <w:rPr>
          <w:rFonts w:hint="eastAsia" w:ascii="仿宋" w:hAnsi="仿宋" w:eastAsia="仿宋" w:cs="仿宋_GB2312"/>
          <w:sz w:val="32"/>
          <w:szCs w:val="32"/>
        </w:rPr>
        <w:t>7.考生进入面试场所，必须接受</w:t>
      </w:r>
      <w:r>
        <w:rPr>
          <w:rFonts w:hint="eastAsia" w:ascii="仿宋" w:hAnsi="仿宋" w:eastAsia="仿宋"/>
          <w:sz w:val="32"/>
          <w:szCs w:val="32"/>
        </w:rPr>
        <w:t>体温测量；需提交</w:t>
      </w:r>
      <w:r>
        <w:rPr>
          <w:rFonts w:hint="eastAsia" w:ascii="仿宋" w:hAnsi="仿宋" w:eastAsia="仿宋" w:cs="Arial"/>
          <w:sz w:val="32"/>
          <w:szCs w:val="32"/>
        </w:rPr>
        <w:t>《</w:t>
      </w:r>
      <w:r>
        <w:rPr>
          <w:rFonts w:hint="eastAsia" w:ascii="仿宋" w:hAnsi="仿宋" w:eastAsia="仿宋" w:cs="仿宋_GB2312"/>
          <w:sz w:val="32"/>
          <w:szCs w:val="32"/>
        </w:rPr>
        <w:t>健康申明卡及安全面试承诺书</w:t>
      </w:r>
      <w:r>
        <w:rPr>
          <w:rFonts w:hint="eastAsia" w:ascii="仿宋" w:hAnsi="仿宋" w:eastAsia="仿宋" w:cs="Arial"/>
          <w:sz w:val="32"/>
          <w:szCs w:val="32"/>
        </w:rPr>
        <w:t>》，查</w:t>
      </w:r>
      <w:r>
        <w:rPr>
          <w:rFonts w:hint="eastAsia" w:ascii="仿宋" w:hAnsi="仿宋" w:eastAsia="仿宋"/>
          <w:bCs/>
          <w:sz w:val="32"/>
          <w:szCs w:val="32"/>
        </w:rPr>
        <w:t>验“八闽健康码”；</w:t>
      </w:r>
      <w:r>
        <w:rPr>
          <w:rFonts w:hint="eastAsia" w:ascii="仿宋" w:hAnsi="仿宋" w:eastAsia="仿宋"/>
          <w:sz w:val="32"/>
          <w:szCs w:val="32"/>
        </w:rPr>
        <w:t>属于需进行核酸检测的考生还</w:t>
      </w:r>
      <w:r>
        <w:rPr>
          <w:rFonts w:hint="eastAsia" w:ascii="仿宋" w:hAnsi="仿宋" w:eastAsia="仿宋" w:cs="仿宋_GB2312"/>
          <w:sz w:val="32"/>
          <w:szCs w:val="32"/>
        </w:rPr>
        <w:t>应提交考前7天内核酸检测阴性报告单（证明）。</w:t>
      </w:r>
      <w:r>
        <w:rPr>
          <w:rFonts w:hint="eastAsia" w:ascii="仿宋" w:hAnsi="仿宋" w:eastAsia="仿宋"/>
          <w:sz w:val="32"/>
          <w:szCs w:val="32"/>
        </w:rPr>
        <w:t>在入口，发现考生发热（体温≥37.3℃）等身体异常症状时，应将考生带到隔离医学观察场所，由医务人员进行询问，并使用水银体温计进行复检。复检体温正常的考生，可进入考场参加考试。复检仍发热的考生，</w:t>
      </w:r>
      <w:r>
        <w:rPr>
          <w:rFonts w:hint="eastAsia" w:ascii="仿宋" w:hAnsi="仿宋" w:eastAsia="仿宋" w:cs="仿宋_GB2312"/>
          <w:sz w:val="32"/>
          <w:szCs w:val="32"/>
        </w:rPr>
        <w:t>送医就诊</w:t>
      </w:r>
      <w:r>
        <w:rPr>
          <w:rFonts w:hint="eastAsia" w:ascii="仿宋" w:hAnsi="仿宋" w:eastAsia="仿宋"/>
          <w:sz w:val="32"/>
          <w:szCs w:val="32"/>
        </w:rPr>
        <w:t>。</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8.在面试期间，考生如出现发热等身体异常情况，应将考生带到隔离医学观察场所，由医务人员进行询问，并使用水银体温计进行复检。复检体温正常的考生，可进入考场继续参加面试。复检仍发热的考生，</w:t>
      </w:r>
      <w:r>
        <w:rPr>
          <w:rFonts w:hint="eastAsia" w:ascii="仿宋" w:hAnsi="仿宋" w:eastAsia="仿宋" w:cs="仿宋_GB2312"/>
          <w:sz w:val="32"/>
          <w:szCs w:val="32"/>
        </w:rPr>
        <w:t>送医就诊</w:t>
      </w:r>
      <w:r>
        <w:rPr>
          <w:rFonts w:hint="eastAsia" w:ascii="仿宋" w:hAnsi="仿宋" w:eastAsia="仿宋"/>
          <w:sz w:val="32"/>
          <w:szCs w:val="32"/>
        </w:rPr>
        <w:t>。</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9.考点须设置医疗服务站和隔离医学观察场所，安排应急车辆，配齐必要的医疗用品、疫情防控和防护用品。安排若干医务人员，负责对发热等身体异常考生进行诊断，指导考点做好体温检测、专业消毒、送医就诊等规范应急处置工作。</w:t>
      </w:r>
    </w:p>
    <w:p>
      <w:pPr>
        <w:spacing w:line="560" w:lineRule="exact"/>
        <w:ind w:firstLine="640" w:firstLineChars="200"/>
        <w:jc w:val="center"/>
        <w:rPr>
          <w:rFonts w:hint="eastAsia"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 xml:space="preserve">             </w:t>
      </w:r>
    </w:p>
    <w:p>
      <w:pPr>
        <w:spacing w:line="560" w:lineRule="exact"/>
        <w:ind w:firstLine="640" w:firstLineChars="200"/>
        <w:jc w:val="center"/>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 xml:space="preserve">              福鼎市教育局新冠肺炎疫情防控领导小组</w:t>
      </w:r>
    </w:p>
    <w:p>
      <w:pPr>
        <w:spacing w:line="560" w:lineRule="exact"/>
        <w:ind w:firstLine="4640" w:firstLineChars="1450"/>
        <w:rPr>
          <w:rFonts w:ascii="仿宋" w:hAnsi="仿宋" w:eastAsia="仿宋" w:cs="仿宋_GB2312"/>
          <w:sz w:val="32"/>
          <w:szCs w:val="32"/>
        </w:rPr>
      </w:pPr>
      <w:r>
        <w:rPr>
          <w:rFonts w:hint="eastAsia" w:ascii="仿宋" w:hAnsi="仿宋" w:eastAsia="仿宋" w:cs="仿宋_GB2312"/>
          <w:sz w:val="32"/>
          <w:szCs w:val="32"/>
          <w:shd w:val="clear" w:color="auto" w:fill="FFFFFF"/>
        </w:rPr>
        <w:t>2021年5月24日</w:t>
      </w:r>
    </w:p>
    <w:p/>
    <w:sectPr>
      <w:headerReference r:id="rId6" w:type="default"/>
      <w:footerReference r:id="rId7" w:type="default"/>
      <w:footerReference r:id="rId8" w:type="even"/>
      <w:pgSz w:w="11906" w:h="16838"/>
      <w:pgMar w:top="1531" w:right="1531" w:bottom="1134" w:left="1531" w:header="851" w:footer="748"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Bookman Old Style">
    <w:panose1 w:val="02050604050505020204"/>
    <w:charset w:val="00"/>
    <w:family w:val="roman"/>
    <w:pitch w:val="default"/>
    <w:sig w:usb0="00000287" w:usb1="00000000" w:usb2="00000000" w:usb3="00000000" w:csb0="2000009F" w:csb1="DFD70000"/>
  </w:font>
  <w:font w:name="方正小标宋简体">
    <w:altName w:val="Arial Unicode MS"/>
    <w:panose1 w:val="03000509000000000000"/>
    <w:charset w:val="86"/>
    <w:family w:val="script"/>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7"/>
        <w:rFonts w:ascii="宋体" w:hAnsi="宋体"/>
        <w:sz w:val="28"/>
        <w:szCs w:val="28"/>
      </w:rPr>
    </w:pPr>
    <w:r>
      <w:rPr>
        <w:rFonts w:ascii="宋体" w:hAnsi="宋体"/>
        <w:sz w:val="28"/>
        <w:szCs w:val="28"/>
      </w:rPr>
      <w:fldChar w:fldCharType="begin"/>
    </w:r>
    <w:r>
      <w:rPr>
        <w:rStyle w:val="7"/>
        <w:rFonts w:ascii="宋体" w:hAnsi="宋体"/>
        <w:sz w:val="28"/>
        <w:szCs w:val="28"/>
      </w:rPr>
      <w:instrText xml:space="preserve">PAGE  </w:instrText>
    </w:r>
    <w:r>
      <w:rPr>
        <w:rFonts w:ascii="宋体" w:hAnsi="宋体"/>
        <w:sz w:val="28"/>
        <w:szCs w:val="28"/>
      </w:rPr>
      <w:fldChar w:fldCharType="separate"/>
    </w:r>
    <w:r>
      <w:rPr>
        <w:rStyle w:val="7"/>
        <w:rFonts w:ascii="宋体" w:hAnsi="宋体"/>
        <w:sz w:val="28"/>
        <w:szCs w:val="28"/>
      </w:rPr>
      <w:t>- 1 -</w:t>
    </w:r>
    <w:r>
      <w:rPr>
        <w:rFonts w:ascii="宋体" w:hAnsi="宋体"/>
        <w:sz w:val="28"/>
        <w:szCs w:val="28"/>
      </w:rPr>
      <w:fldChar w:fldCharType="end"/>
    </w:r>
  </w:p>
  <w:p>
    <w:pPr>
      <w:pStyle w:val="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7"/>
      </w:rPr>
    </w:pPr>
    <w:r>
      <w:fldChar w:fldCharType="begin"/>
    </w:r>
    <w:r>
      <w:rPr>
        <w:rStyle w:val="7"/>
      </w:rPr>
      <w:instrText xml:space="preserve">PAGE  </w:instrText>
    </w:r>
    <w:r>
      <w:fldChar w:fldCharType="end"/>
    </w:r>
  </w:p>
  <w:p>
    <w:pPr>
      <w:pStyle w:val="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7"/>
      </w:rPr>
    </w:pPr>
    <w:r>
      <w:rPr>
        <w:rFonts w:hint="eastAsia" w:ascii="仿宋_GB2312" w:hAnsi="仿宋_GB2312" w:eastAsia="仿宋_GB2312" w:cs="仿宋_GB2312"/>
        <w:sz w:val="28"/>
        <w:szCs w:val="28"/>
      </w:rPr>
      <w:fldChar w:fldCharType="begin"/>
    </w:r>
    <w:r>
      <w:rPr>
        <w:rStyle w:val="7"/>
        <w:rFonts w:hint="eastAsia" w:ascii="仿宋_GB2312" w:hAnsi="仿宋_GB2312" w:eastAsia="仿宋_GB2312" w:cs="仿宋_GB2312"/>
        <w:sz w:val="28"/>
        <w:szCs w:val="28"/>
      </w:rPr>
      <w:instrText xml:space="preserve">PAGE  </w:instrText>
    </w:r>
    <w:r>
      <w:rPr>
        <w:rFonts w:hint="eastAsia" w:ascii="仿宋_GB2312" w:hAnsi="仿宋_GB2312" w:eastAsia="仿宋_GB2312" w:cs="仿宋_GB2312"/>
        <w:sz w:val="28"/>
        <w:szCs w:val="28"/>
      </w:rPr>
      <w:fldChar w:fldCharType="separate"/>
    </w:r>
    <w:r>
      <w:rPr>
        <w:rStyle w:val="7"/>
        <w:rFonts w:ascii="仿宋_GB2312" w:hAnsi="仿宋_GB2312" w:eastAsia="仿宋_GB2312" w:cs="仿宋_GB2312"/>
        <w:sz w:val="28"/>
        <w:szCs w:val="28"/>
      </w:rPr>
      <w:t>- 15 -</w:t>
    </w:r>
    <w:r>
      <w:rPr>
        <w:rFonts w:hint="eastAsia" w:ascii="仿宋_GB2312" w:hAnsi="仿宋_GB2312" w:eastAsia="仿宋_GB2312" w:cs="仿宋_GB2312"/>
        <w:sz w:val="28"/>
        <w:szCs w:val="28"/>
      </w:rPr>
      <w:fldChar w:fldCharType="end"/>
    </w:r>
  </w:p>
  <w:p>
    <w:pPr>
      <w:pStyle w:val="3"/>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7"/>
      </w:rPr>
    </w:pPr>
    <w:r>
      <w:fldChar w:fldCharType="begin"/>
    </w:r>
    <w:r>
      <w:rPr>
        <w:rStyle w:val="7"/>
      </w:rPr>
      <w:instrText xml:space="preserve">PAGE  </w:instrText>
    </w:r>
    <w:r>
      <w:fldChar w:fldCharType="end"/>
    </w:r>
  </w:p>
  <w:p>
    <w:pPr>
      <w:pStyle w:val="3"/>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86A"/>
    <w:rsid w:val="00A16991"/>
    <w:rsid w:val="00C3386A"/>
    <w:rsid w:val="63913EEA"/>
    <w:rsid w:val="729428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uiPriority w:val="99"/>
    <w:rPr>
      <w:sz w:val="18"/>
      <w:szCs w:val="18"/>
    </w:rPr>
  </w:style>
  <w:style w:type="paragraph" w:styleId="3">
    <w:name w:val="footer"/>
    <w:basedOn w:val="1"/>
    <w:link w:val="9"/>
    <w:uiPriority w:val="0"/>
    <w:pPr>
      <w:tabs>
        <w:tab w:val="center" w:pos="4153"/>
        <w:tab w:val="right" w:pos="8306"/>
      </w:tabs>
      <w:snapToGrid w:val="0"/>
      <w:jc w:val="left"/>
    </w:pPr>
    <w:rPr>
      <w:sz w:val="18"/>
      <w:szCs w:val="18"/>
    </w:rPr>
  </w:style>
  <w:style w:type="paragraph" w:styleId="4">
    <w:name w:val="header"/>
    <w:basedOn w:val="1"/>
    <w:link w:val="8"/>
    <w:uiPriority w:val="0"/>
    <w:pPr>
      <w:pBdr>
        <w:bottom w:val="single" w:color="auto" w:sz="6" w:space="1"/>
      </w:pBdr>
      <w:tabs>
        <w:tab w:val="center" w:pos="4153"/>
        <w:tab w:val="right" w:pos="8306"/>
      </w:tabs>
      <w:snapToGrid w:val="0"/>
      <w:jc w:val="center"/>
    </w:pPr>
    <w:rPr>
      <w:sz w:val="18"/>
      <w:szCs w:val="18"/>
    </w:rPr>
  </w:style>
  <w:style w:type="character" w:styleId="7">
    <w:name w:val="page number"/>
    <w:basedOn w:val="6"/>
    <w:qFormat/>
    <w:uiPriority w:val="0"/>
  </w:style>
  <w:style w:type="character" w:customStyle="1" w:styleId="8">
    <w:name w:val="页眉 Char"/>
    <w:basedOn w:val="6"/>
    <w:link w:val="4"/>
    <w:qFormat/>
    <w:uiPriority w:val="0"/>
    <w:rPr>
      <w:rFonts w:ascii="Times New Roman" w:hAnsi="Times New Roman" w:eastAsia="宋体" w:cs="Times New Roman"/>
      <w:sz w:val="18"/>
      <w:szCs w:val="18"/>
    </w:rPr>
  </w:style>
  <w:style w:type="character" w:customStyle="1" w:styleId="9">
    <w:name w:val="页脚 Char"/>
    <w:basedOn w:val="6"/>
    <w:link w:val="3"/>
    <w:qFormat/>
    <w:uiPriority w:val="0"/>
    <w:rPr>
      <w:rFonts w:ascii="Times New Roman" w:hAnsi="Times New Roman" w:eastAsia="宋体" w:cs="Times New Roman"/>
      <w:sz w:val="18"/>
      <w:szCs w:val="18"/>
    </w:rPr>
  </w:style>
  <w:style w:type="character" w:customStyle="1" w:styleId="10">
    <w:name w:val="批注框文本 Char"/>
    <w:basedOn w:val="6"/>
    <w:link w:val="2"/>
    <w:semiHidden/>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1E9541-45A2-4489-BB31-49ED28952E05}">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16</Pages>
  <Words>926</Words>
  <Characters>5284</Characters>
  <Lines>44</Lines>
  <Paragraphs>12</Paragraphs>
  <TotalTime>17</TotalTime>
  <ScaleCrop>false</ScaleCrop>
  <LinksUpToDate>false</LinksUpToDate>
  <CharactersWithSpaces>6198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2021-05-24T13:50:00Z</dcterms:created>
  <dc:creator>微软用户</dc:creator>
  <cp:lastModifiedBy>Administrator</cp:lastModifiedBy>
  <dcterms:modified xsi:type="dcterms:W3CDTF">2021-05-24T14:21:43Z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