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png" PartName="/word/media/document_image_rId10.png"/>
  <Override ContentType="image/png" PartName="/word/media/document_image_rId11.png"/>
  <Override ContentType="image/png" PartName="/word/media/document_image_rId12.png"/>
  <Override ContentType="image/gif" PartName="/word/media/document_image_rId9.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pStyle w:val="heading2"/>
        <w:snapToGrid w:val="false"/>
        <w:spacing w:lineRule="auto"/>
        <w:ind/>
        <w:rPr>
          <w:rFonts w:ascii="微软雅黑" w:hAnsi="微软雅黑" w:eastAsia="微软雅黑"/>
        </w:rPr>
      </w:pPr>
      <w:r>
        <w:rPr>
          <w:rFonts w:ascii="微软雅黑" w:hAnsi="微软雅黑" w:eastAsia="微软雅黑"/>
        </w:rPr>
        <w:t>成都市郫都区润弘铁门幼儿园、润弘校园路幼儿园2021年春季招生通知</w:t>
      </w:r>
    </w:p>
    <w:p>
      <w:pPr>
        <w:snapToGrid w:val="false"/>
        <w:spacing w:before="0" w:after="0" w:line="240" w:lineRule="auto"/>
        <w:ind/>
        <w:jc w:val="left"/>
        <w:rPr>
          <w:rFonts w:ascii="微软雅黑" w:hAnsi="微软雅黑" w:eastAsia="微软雅黑"/>
          <w:color w:val="000000"/>
          <w:sz w:val="21"/>
          <w:szCs w:val="21"/>
        </w:rPr>
      </w:pPr>
      <w:r>
        <w:rPr>
          <w:rFonts w:ascii="微软雅黑" w:hAnsi="微软雅黑" w:eastAsia="微软雅黑"/>
          <w:color w:val="576b95"/>
          <w:sz w:val="22"/>
          <w:szCs w:val="22"/>
        </w:rPr>
        <w:t>郫都教育</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4a88d6"/>
          <w:sz w:val="72"/>
          <w:szCs w:val="72"/>
          <w:shd w:val="clear" w:fill="ffffff"/>
        </w:rPr>
        <w:t>通  知</w:t>
      </w:r>
    </w:p>
    <w:p>
      <w:pPr>
        <w:snapToGrid w:val="false"/>
        <w:spacing w:before="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264695"/>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264695"/>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300" w:right="300"/>
        <w:jc w:val="both"/>
        <w:rPr>
          <w:rFonts w:ascii="微软雅黑" w:hAnsi="微软雅黑" w:eastAsia="微软雅黑"/>
          <w:color w:val="000000"/>
          <w:sz w:val="21"/>
          <w:szCs w:val="21"/>
        </w:rPr>
      </w:pPr>
      <w:r>
        <w:rPr>
          <w:rFonts w:ascii="微软雅黑" w:hAnsi="微软雅黑" w:eastAsia="微软雅黑"/>
          <w:color w:val="ffffff"/>
          <w:spacing w:val="0"/>
          <w:sz w:val="22"/>
          <w:szCs w:val="22"/>
          <w:shd w:val="clear" w:fill="90caf9"/>
        </w:rPr>
        <w:t>  郫都区润弘铁门幼儿园、郫都区润弘校园路幼儿园是由郫都区区属国有公司成都市润弘投资有限公司建设运营的公办幼儿园，根据成都市教育局和郫都区教育局幼儿园招生工作要求，结合实际情况，现将2021年春季招生有关工作通知如下：</w:t>
      </w:r>
    </w:p>
    <w:p>
      <w:pPr>
        <w:snapToGrid w:val="false"/>
        <w:spacing w:before="0" w:after="0" w:line="240" w:lineRule="auto"/>
        <w:ind w:left="300" w:right="300"/>
        <w:jc w:val="lef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一、招生</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原则</w:t>
      </w:r>
    </w:p>
    <w:p>
      <w:pPr>
        <w:snapToGrid w:val="false"/>
        <w:spacing w:before="75"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就近入园</w:t>
      </w:r>
    </w:p>
    <w:p>
      <w:pPr>
        <w:snapToGrid w:val="false"/>
        <w:spacing w:before="0"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免试入园</w:t>
      </w:r>
    </w:p>
    <w:p>
      <w:pPr>
        <w:snapToGrid w:val="false"/>
        <w:spacing w:before="0"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公平公开</w:t>
      </w:r>
    </w:p>
    <w:p>
      <w:pPr>
        <w:snapToGrid w:val="false"/>
        <w:spacing w:before="495"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295590"/>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5274310" cy="3295590"/>
                    </a:xfrm>
                    <a:prstGeom prst="rect">
                      <a:avLst/>
                    </a:prstGeom>
                  </pic:spPr>
                </pic:pic>
              </a:graphicData>
            </a:graphic>
          </wp:inline>
        </w:drawing>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二、招生</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对象</w:t>
      </w:r>
    </w:p>
    <w:p>
      <w:pPr>
        <w:snapToGrid w:val="false"/>
        <w:spacing w:before="75"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5"/>
          <w:szCs w:val="25"/>
          <w:shd w:val="clear" w:fill="ffffff"/>
        </w:rPr>
        <w:t>   </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    小班：年满3周岁（即2016年9月1日——2017年8月31日期间出生），所属街道户籍幼儿。</w:t>
      </w:r>
    </w:p>
    <w:p>
      <w:pPr>
        <w:snapToGrid w:val="false"/>
        <w:spacing w:before="495"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295590"/>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10"/>
                    <a:stretch>
                      <a:fillRect/>
                    </a:stretch>
                  </pic:blipFill>
                  <pic:spPr>
                    <a:xfrm>
                      <a:off x="0" y="0"/>
                      <a:ext cx="5274310" cy="3295590"/>
                    </a:xfrm>
                    <a:prstGeom prst="rect">
                      <a:avLst/>
                    </a:prstGeom>
                  </pic:spPr>
                </pic:pic>
              </a:graphicData>
            </a:graphic>
          </wp:inline>
        </w:drawing>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left="300" w:right="300"/>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三、招生</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计划</w:t>
      </w:r>
    </w:p>
    <w:p>
      <w:pPr>
        <w:snapToGrid w:val="false"/>
        <w:spacing w:before="15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914064"/>
            <wp:effectExtent l="0" t="0" r="0" b="0"/>
            <wp:docPr id="6" name="" descr=""/>
            <wp:cNvGraphicFramePr>
              <a:graphicFrameLocks noChangeAspect="true"/>
            </wp:cNvGraphicFramePr>
            <a:graphic>
              <a:graphicData uri="http://schemas.openxmlformats.org/drawingml/2006/picture">
                <pic:pic>
                  <pic:nvPicPr>
                    <pic:cNvPr id="6" name=""/>
                    <pic:cNvPicPr/>
                  </pic:nvPicPr>
                  <pic:blipFill>
                    <a:blip r:embed="rId12"/>
                    <a:stretch>
                      <a:fillRect/>
                    </a:stretch>
                  </pic:blipFill>
                  <pic:spPr>
                    <a:xfrm>
                      <a:off x="0" y="0"/>
                      <a:ext cx="5274310" cy="3914064"/>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495"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295590"/>
            <wp:effectExtent l="0" t="0" r="0" b="0"/>
            <wp:docPr id="7" name="" descr=""/>
            <wp:cNvGraphicFramePr>
              <a:graphicFrameLocks noChangeAspect="true"/>
            </wp:cNvGraphicFramePr>
            <a:graphic>
              <a:graphicData uri="http://schemas.openxmlformats.org/drawingml/2006/picture">
                <pic:pic>
                  <pic:nvPicPr>
                    <pic:cNvPr id="7" name=""/>
                    <pic:cNvPicPr/>
                  </pic:nvPicPr>
                  <pic:blipFill>
                    <a:blip r:embed="rId10"/>
                    <a:stretch>
                      <a:fillRect/>
                    </a:stretch>
                  </pic:blipFill>
                  <pic:spPr>
                    <a:xfrm>
                      <a:off x="0" y="0"/>
                      <a:ext cx="5274310" cy="3295590"/>
                    </a:xfrm>
                    <a:prstGeom prst="rect">
                      <a:avLst/>
                    </a:prstGeom>
                  </pic:spPr>
                </pic:pic>
              </a:graphicData>
            </a:graphic>
          </wp:inline>
        </w:drawing>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8" name="" descr=""/>
            <wp:cNvGraphicFramePr>
              <a:graphicFrameLocks noChangeAspect="true"/>
            </wp:cNvGraphicFramePr>
            <a:graphic>
              <a:graphicData uri="http://schemas.openxmlformats.org/drawingml/2006/picture">
                <pic:pic>
                  <pic:nvPicPr>
                    <pic:cNvPr id="8"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left="300" w:right="300"/>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四、招生</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方式</w:t>
      </w:r>
    </w:p>
    <w:p>
      <w:pPr>
        <w:snapToGrid w:val="false"/>
        <w:spacing w:before="75"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网上报名</w:t>
      </w:r>
    </w:p>
    <w:p>
      <w:pPr>
        <w:snapToGrid w:val="false"/>
        <w:spacing w:before="0"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实地审核</w:t>
      </w:r>
    </w:p>
    <w:p>
      <w:pPr>
        <w:snapToGrid w:val="false"/>
        <w:spacing w:before="0" w:after="0" w:line="240" w:lineRule="auto"/>
        <w:ind w:left="225" w:right="225"/>
        <w:jc w:val="center"/>
        <w:rPr>
          <w:rFonts w:ascii="微软雅黑" w:hAnsi="微软雅黑" w:eastAsia="微软雅黑"/>
          <w:color w:val="000000"/>
          <w:sz w:val="21"/>
          <w:szCs w:val="21"/>
        </w:rPr>
      </w:pPr>
      <w:r>
        <w:rPr>
          <w:rFonts w:ascii="微软雅黑" w:hAnsi="微软雅黑" w:eastAsia="微软雅黑"/>
          <w:b w:val="true"/>
          <w:bCs w:val="true"/>
          <w:color w:val="a0a0a0"/>
          <w:spacing w:val="0"/>
          <w:sz w:val="25"/>
          <w:szCs w:val="25"/>
          <w:shd w:val="clear" w:fill="ffffff"/>
        </w:rPr>
        <w:t>现场摇号</w:t>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9" name="" descr=""/>
            <wp:cNvGraphicFramePr>
              <a:graphicFrameLocks noChangeAspect="true"/>
            </wp:cNvGraphicFramePr>
            <a:graphic>
              <a:graphicData uri="http://schemas.openxmlformats.org/drawingml/2006/picture">
                <pic:pic>
                  <pic:nvPicPr>
                    <pic:cNvPr id="9"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五、招生</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程序</w:t>
      </w:r>
    </w:p>
    <w:p>
      <w:pPr>
        <w:snapToGrid w:val="false"/>
        <w:spacing w:before="75"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fdc038"/>
          <w:spacing w:val="0"/>
          <w:sz w:val="25"/>
          <w:szCs w:val="25"/>
          <w:shd w:val="clear" w:fill="ffffff"/>
        </w:rPr>
        <w:t>（一）发布招生公告</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1.公告时间为2021年1月20日-1月26日；</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2.公告方式：</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（1）网络公告：通过“郫都教育”微信公众号发布招生公告；</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（2）公告栏公告：郫都区润弘铁门幼儿园、郫都区润弘校园路幼儿园门前张贴招生公告。</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fdc038"/>
          <w:spacing w:val="0"/>
          <w:sz w:val="25"/>
          <w:szCs w:val="25"/>
          <w:shd w:val="clear" w:fill="ffffff"/>
        </w:rPr>
        <w:t>（二）网上预登记</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1.登记时间：2021年1月27日上午9：00-2月2日下午17：00截止；</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2.所属街道辖区内户籍幼儿的法定监护人须关注“郫都教育”微信公众号，在“教育服务”菜单选择“公办园报名”，按照操作提示进行网上预登记。</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3.报名要求：</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（1）登记信息须真实有效；</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（2）登记时同一幼儿只能选择一所幼儿园（或园区）进行登记，如经核实登记信息虚假或重复选择两所及以上幼儿园（园区）登记的，取消该幼儿登记资格。</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fdc038"/>
          <w:spacing w:val="0"/>
          <w:sz w:val="25"/>
          <w:szCs w:val="25"/>
          <w:shd w:val="clear" w:fill="ffffff"/>
        </w:rPr>
        <w:t>（三）现场审核</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审核确认时间：2021年2月3日9：00-17：00分批现场审核（地址：成都市郫都区德源镇红旗大道北段191号成都世纪后勤服务有限公司二楼）。</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网上登记成功后，幼儿法定监护人持身份证和幼儿户口簿原件及复印件（户口本户主页、监护人和幼儿信息页和监护人身份证复印件）进行现场审核，取得幼儿报名的流水号。（未按时到现场确认，视为自动放弃。）</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fdc038"/>
          <w:spacing w:val="0"/>
          <w:sz w:val="25"/>
          <w:szCs w:val="25"/>
          <w:shd w:val="clear" w:fill="ffffff"/>
        </w:rPr>
        <w:t>（四）2021年2月4日-5日公示资格审查合格幼儿名单</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资格审查合格幼儿名单于2021年2月4日在郫都区润弘铁门幼儿园、郫都区润弘校园路幼儿园门前张贴。</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b w:val="true"/>
          <w:bCs w:val="true"/>
          <w:color w:val="fdc038"/>
          <w:spacing w:val="0"/>
          <w:sz w:val="25"/>
          <w:szCs w:val="25"/>
          <w:shd w:val="clear" w:fill="ffffff"/>
        </w:rPr>
        <w:t>（五）录取办法</w:t>
      </w:r>
    </w:p>
    <w:p>
      <w:pPr>
        <w:snapToGrid w:val="false"/>
        <w:spacing w:before="0" w:after="0" w:line="240" w:lineRule="auto"/>
        <w:ind w:left="225" w:right="225"/>
        <w:jc w:val="left"/>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1.报名审核确认后，统计报名人数，如报名人数小于等于该园招生计划数，经确认的幼儿全部入园；</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2.如报名人数大于该园招生计划数，则通过摇号方式进行录取（摇号时间待定）；</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3.录取名单公布：</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录取名单在郫都区润弘铁门幼儿园、郫都区润弘校园路幼儿园门前张贴；</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4.入园报名：具体报名时间和开园时间另行通知。</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10" name="" descr=""/>
            <wp:cNvGraphicFramePr>
              <a:graphicFrameLocks noChangeAspect="true"/>
            </wp:cNvGraphicFramePr>
            <a:graphic>
              <a:graphicData uri="http://schemas.openxmlformats.org/drawingml/2006/picture">
                <pic:pic>
                  <pic:nvPicPr>
                    <pic:cNvPr id="10"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ffffff"/>
          <w:sz w:val="30"/>
          <w:szCs w:val="30"/>
          <w:shd w:val="clear" w:fill="90caf9"/>
        </w:rPr>
        <w:t>六、其他</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d5e5f8"/>
          <w:sz w:val="30"/>
          <w:szCs w:val="30"/>
          <w:shd w:val="clear" w:fill="90caf9"/>
        </w:rPr>
        <w:t>事项</w:t>
      </w:r>
    </w:p>
    <w:p>
      <w:pPr>
        <w:snapToGrid w:val="false"/>
        <w:spacing w:before="75"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1.所属街道户籍适龄幼儿只可选报一所招生范围内的公办幼儿园，双胞胎或多胞胎只可取得1个报名流水号，若该号被录取则双胞胎或多胞胎均录取入园；</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2.已被所属街道其他公办园录取的幼儿不参加本次报名；</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3.以上事项请一定注意每个环节的时间节点和内容，超过办理时间都将视作弃权处理；</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4.此招生通知最终解释权归成都市郫都区润弘铁门幼儿园、润弘校园路幼儿园；</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5.咨询电话：13378127483（李老师）。</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成都市郫都区教育局</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a0a0a0"/>
          <w:spacing w:val="0"/>
          <w:sz w:val="21"/>
          <w:szCs w:val="21"/>
          <w:shd w:val="clear" w:fill="ffffff"/>
        </w:rPr>
        <w:t>                                               2021年1月20日</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30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814914"/>
            <wp:effectExtent l="0" t="0" r="0" b="0"/>
            <wp:docPr id="11" name="" descr=""/>
            <wp:cNvGraphicFramePr>
              <a:graphicFrameLocks noChangeAspect="true"/>
            </wp:cNvGraphicFramePr>
            <a:graphic>
              <a:graphicData uri="http://schemas.openxmlformats.org/drawingml/2006/picture">
                <pic:pic>
                  <pic:nvPicPr>
                    <pic:cNvPr id="11" name=""/>
                    <pic:cNvPicPr/>
                  </pic:nvPicPr>
                  <pic:blipFill>
                    <a:blip r:embed="rId11"/>
                    <a:stretch>
                      <a:fillRect/>
                    </a:stretch>
                  </pic:blipFill>
                  <pic:spPr>
                    <a:xfrm>
                      <a:off x="0" y="0"/>
                      <a:ext cx="5274310" cy="814914"/>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3686175" cy="3667125"/>
            <wp:effectExtent l="0" t="0" r="0" b="0"/>
            <wp:docPr id="12" name="" descr=""/>
            <wp:cNvGraphicFramePr>
              <a:graphicFrameLocks noChangeAspect="true"/>
            </wp:cNvGraphicFramePr>
            <a:graphic>
              <a:graphicData uri="http://schemas.openxmlformats.org/drawingml/2006/picture">
                <pic:pic>
                  <pic:nvPicPr>
                    <pic:cNvPr id="12" name=""/>
                    <pic:cNvPicPr/>
                  </pic:nvPicPr>
                  <pic:blipFill>
                    <a:blip r:embed="rId13"/>
                    <a:stretch>
                      <a:fillRect/>
                    </a:stretch>
                  </pic:blipFill>
                  <pic:spPr>
                    <a:xfrm>
                      <a:off x="0" y="0"/>
                      <a:ext cx="3686175" cy="3667125"/>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sectPr w:rsidR="00C60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2">
    <w:name w:val="heading 2"/>
    <w:basedOn w:val="a"/>
    <w:next w:val="a"/>
    <w:uiPriority w:val="9"/>
    <w:unhideWhenUsed/>
    <w:qFormat/>
    <w:rsid w:val="001C768A"/>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gif" Type="http://schemas.openxmlformats.org/officeDocument/2006/relationships/image" Id="rId9"/><Relationship Target="media/document_image_rId10.png" Type="http://schemas.openxmlformats.org/officeDocument/2006/relationships/image" Id="rId10"/><Relationship Target="media/document_image_rId11.png" Type="http://schemas.openxmlformats.org/officeDocument/2006/relationships/image" Id="rId11"/><Relationship Target="media/document_image_rId12.png" Type="http://schemas.openxmlformats.org/officeDocument/2006/relationships/image" Id="rId12"/><Relationship Target="media/document_image_rId13.jpeg" Type="http://schemas.openxmlformats.org/officeDocument/2006/relationships/image" Id="rId13"/></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