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仿宋_GB2312" w:eastAsia="仿宋_GB2312"/>
          <w:sz w:val="32"/>
          <w:szCs w:val="32"/>
        </w:rPr>
      </w:pPr>
      <w:r>
        <w:rPr>
          <w:rFonts w:hint="eastAsia" w:ascii="仿宋_GB2312" w:eastAsia="仿宋_GB2312"/>
          <w:sz w:val="32"/>
          <w:szCs w:val="32"/>
        </w:rPr>
        <w:t>附件2</w:t>
      </w:r>
    </w:p>
    <w:p>
      <w:pPr>
        <w:widowControl/>
        <w:spacing w:line="560" w:lineRule="exact"/>
        <w:ind w:firstLine="400" w:firstLineChars="100"/>
        <w:jc w:val="center"/>
        <w:rPr>
          <w:rFonts w:hint="eastAsia" w:ascii="方正小标宋简体" w:hAnsi="仿宋" w:eastAsia="方正小标宋简体" w:cs="宋体"/>
          <w:kern w:val="0"/>
          <w:sz w:val="40"/>
          <w:szCs w:val="32"/>
        </w:rPr>
      </w:pPr>
      <w:r>
        <w:rPr>
          <w:rFonts w:hint="eastAsia" w:ascii="方正小标宋简体" w:hAnsi="仿宋" w:eastAsia="方正小标宋简体" w:cs="宋体"/>
          <w:kern w:val="0"/>
          <w:sz w:val="40"/>
          <w:szCs w:val="32"/>
        </w:rPr>
        <w:t>武陵区2019年公开选调小学优秀中青年教师</w:t>
      </w:r>
    </w:p>
    <w:p>
      <w:pPr>
        <w:widowControl/>
        <w:spacing w:line="560" w:lineRule="exact"/>
        <w:ind w:firstLine="400" w:firstLineChars="100"/>
        <w:jc w:val="center"/>
        <w:rPr>
          <w:rFonts w:ascii="方正小标宋简体" w:hAnsi="仿宋" w:eastAsia="方正小标宋简体" w:cs="宋体"/>
          <w:kern w:val="0"/>
          <w:sz w:val="40"/>
          <w:szCs w:val="32"/>
        </w:rPr>
      </w:pPr>
      <w:r>
        <w:rPr>
          <w:rFonts w:hint="eastAsia" w:ascii="方正小标宋简体" w:hAnsi="仿宋" w:eastAsia="方正小标宋简体" w:cs="宋体"/>
          <w:kern w:val="0"/>
          <w:sz w:val="40"/>
          <w:szCs w:val="32"/>
        </w:rPr>
        <w:t>岗位条件及数量表</w:t>
      </w:r>
    </w:p>
    <w:tbl>
      <w:tblPr>
        <w:tblStyle w:val="2"/>
        <w:tblpPr w:leftFromText="180" w:rightFromText="180" w:vertAnchor="text" w:horzAnchor="margin" w:tblpXSpec="center" w:tblpY="158"/>
        <w:tblW w:w="8694" w:type="dxa"/>
        <w:tblInd w:w="10" w:type="dxa"/>
        <w:tblLayout w:type="fixed"/>
        <w:tblCellMar>
          <w:top w:w="0" w:type="dxa"/>
          <w:left w:w="0" w:type="dxa"/>
          <w:bottom w:w="0" w:type="dxa"/>
          <w:right w:w="0" w:type="dxa"/>
        </w:tblCellMar>
      </w:tblPr>
      <w:tblGrid>
        <w:gridCol w:w="1140"/>
        <w:gridCol w:w="900"/>
        <w:gridCol w:w="900"/>
        <w:gridCol w:w="845"/>
        <w:gridCol w:w="660"/>
        <w:gridCol w:w="3109"/>
        <w:gridCol w:w="1140"/>
      </w:tblGrid>
      <w:tr>
        <w:tblPrEx>
          <w:tblLayout w:type="fixed"/>
          <w:tblCellMar>
            <w:top w:w="0" w:type="dxa"/>
            <w:left w:w="0" w:type="dxa"/>
            <w:bottom w:w="0" w:type="dxa"/>
            <w:right w:w="0" w:type="dxa"/>
          </w:tblCellMar>
        </w:tblPrEx>
        <w:trPr>
          <w:trHeight w:val="826" w:hRule="atLeast"/>
        </w:trPr>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right="38" w:rightChars="18"/>
              <w:jc w:val="center"/>
              <w:textAlignment w:val="center"/>
              <w:rPr>
                <w:rFonts w:hint="eastAsia" w:ascii="黑体" w:hAnsi="仿宋" w:eastAsia="黑体" w:cs="仿宋"/>
                <w:kern w:val="0"/>
                <w:sz w:val="24"/>
                <w:lang w:bidi="ar"/>
              </w:rPr>
            </w:pPr>
            <w:r>
              <w:rPr>
                <w:rFonts w:hint="eastAsia" w:ascii="黑体" w:hAnsi="仿宋" w:eastAsia="黑体" w:cs="仿宋"/>
                <w:kern w:val="0"/>
                <w:sz w:val="24"/>
                <w:lang w:bidi="ar"/>
              </w:rPr>
              <w:t>招聘</w:t>
            </w:r>
          </w:p>
          <w:p>
            <w:pPr>
              <w:widowControl/>
              <w:ind w:right="38" w:rightChars="18"/>
              <w:jc w:val="center"/>
              <w:textAlignment w:val="center"/>
              <w:rPr>
                <w:rFonts w:hint="eastAsia" w:ascii="黑体" w:hAnsi="仿宋" w:eastAsia="黑体" w:cs="仿宋"/>
                <w:kern w:val="0"/>
                <w:sz w:val="24"/>
                <w:lang w:bidi="ar"/>
              </w:rPr>
            </w:pPr>
            <w:r>
              <w:rPr>
                <w:rFonts w:hint="eastAsia" w:ascii="黑体" w:hAnsi="仿宋" w:eastAsia="黑体" w:cs="仿宋"/>
                <w:kern w:val="0"/>
                <w:sz w:val="24"/>
                <w:lang w:bidi="ar"/>
              </w:rPr>
              <w:t>岗位</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right="38" w:rightChars="18"/>
              <w:jc w:val="center"/>
              <w:textAlignment w:val="center"/>
              <w:rPr>
                <w:rFonts w:hint="eastAsia" w:ascii="黑体" w:hAnsi="仿宋" w:eastAsia="黑体" w:cs="仿宋"/>
                <w:kern w:val="0"/>
                <w:sz w:val="24"/>
                <w:lang w:bidi="ar"/>
              </w:rPr>
            </w:pPr>
            <w:r>
              <w:rPr>
                <w:rFonts w:hint="eastAsia" w:ascii="黑体" w:hAnsi="仿宋" w:eastAsia="黑体" w:cs="仿宋"/>
                <w:kern w:val="0"/>
                <w:sz w:val="24"/>
                <w:lang w:bidi="ar"/>
              </w:rPr>
              <w:t>招聘 计划</w:t>
            </w:r>
          </w:p>
        </w:tc>
        <w:tc>
          <w:tcPr>
            <w:tcW w:w="90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ind w:right="38" w:rightChars="18"/>
              <w:jc w:val="center"/>
              <w:textAlignment w:val="center"/>
              <w:rPr>
                <w:rFonts w:hint="eastAsia" w:ascii="黑体" w:hAnsi="仿宋" w:eastAsia="黑体" w:cs="仿宋"/>
                <w:kern w:val="0"/>
                <w:sz w:val="24"/>
                <w:lang w:bidi="ar"/>
              </w:rPr>
            </w:pPr>
            <w:r>
              <w:rPr>
                <w:rFonts w:hint="eastAsia" w:ascii="黑体" w:hAnsi="仿宋" w:eastAsia="黑体" w:cs="仿宋"/>
                <w:kern w:val="0"/>
                <w:sz w:val="24"/>
                <w:lang w:bidi="ar"/>
              </w:rPr>
              <w:t>年龄</w:t>
            </w:r>
          </w:p>
        </w:tc>
        <w:tc>
          <w:tcPr>
            <w:tcW w:w="84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ind w:right="38" w:rightChars="18"/>
              <w:jc w:val="center"/>
              <w:textAlignment w:val="center"/>
              <w:rPr>
                <w:rFonts w:hint="eastAsia" w:ascii="黑体" w:hAnsi="仿宋" w:eastAsia="黑体" w:cs="仿宋"/>
                <w:kern w:val="0"/>
                <w:sz w:val="24"/>
                <w:lang w:bidi="ar"/>
              </w:rPr>
            </w:pPr>
            <w:r>
              <w:rPr>
                <w:rFonts w:hint="eastAsia" w:ascii="黑体" w:hAnsi="仿宋" w:eastAsia="黑体" w:cs="仿宋"/>
                <w:kern w:val="0"/>
                <w:sz w:val="24"/>
                <w:lang w:bidi="ar"/>
              </w:rPr>
              <w:t>学历</w:t>
            </w:r>
          </w:p>
          <w:p>
            <w:pPr>
              <w:widowControl/>
              <w:ind w:right="38" w:rightChars="18"/>
              <w:jc w:val="center"/>
              <w:textAlignment w:val="center"/>
              <w:rPr>
                <w:rFonts w:hint="eastAsia" w:ascii="黑体" w:hAnsi="仿宋" w:eastAsia="黑体" w:cs="仿宋"/>
                <w:kern w:val="0"/>
                <w:sz w:val="24"/>
                <w:lang w:bidi="ar"/>
              </w:rPr>
            </w:pPr>
            <w:r>
              <w:rPr>
                <w:rFonts w:hint="eastAsia" w:ascii="黑体" w:hAnsi="仿宋" w:eastAsia="黑体" w:cs="仿宋"/>
                <w:kern w:val="0"/>
                <w:sz w:val="24"/>
                <w:lang w:bidi="ar"/>
              </w:rPr>
              <w:t>要求</w:t>
            </w:r>
          </w:p>
        </w:tc>
        <w:tc>
          <w:tcPr>
            <w:tcW w:w="66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ind w:right="38" w:rightChars="18"/>
              <w:jc w:val="center"/>
              <w:textAlignment w:val="center"/>
              <w:rPr>
                <w:rFonts w:hint="eastAsia" w:ascii="黑体" w:hAnsi="仿宋" w:eastAsia="黑体" w:cs="仿宋"/>
                <w:kern w:val="0"/>
                <w:sz w:val="24"/>
                <w:lang w:bidi="ar"/>
              </w:rPr>
            </w:pPr>
            <w:r>
              <w:rPr>
                <w:rFonts w:hint="eastAsia" w:ascii="黑体" w:hAnsi="仿宋" w:eastAsia="黑体" w:cs="仿宋"/>
                <w:kern w:val="0"/>
                <w:sz w:val="24"/>
                <w:lang w:bidi="ar"/>
              </w:rPr>
              <w:t>专业</w:t>
            </w:r>
          </w:p>
          <w:p>
            <w:pPr>
              <w:widowControl/>
              <w:ind w:right="38" w:rightChars="18"/>
              <w:jc w:val="center"/>
              <w:textAlignment w:val="center"/>
              <w:rPr>
                <w:rFonts w:hint="eastAsia" w:ascii="黑体" w:hAnsi="仿宋" w:eastAsia="黑体" w:cs="仿宋"/>
                <w:kern w:val="0"/>
                <w:sz w:val="24"/>
                <w:lang w:bidi="ar"/>
              </w:rPr>
            </w:pPr>
            <w:r>
              <w:rPr>
                <w:rFonts w:hint="eastAsia" w:ascii="黑体" w:hAnsi="仿宋" w:eastAsia="黑体" w:cs="仿宋"/>
                <w:kern w:val="0"/>
                <w:sz w:val="24"/>
                <w:lang w:bidi="ar"/>
              </w:rPr>
              <w:t>要求</w:t>
            </w:r>
          </w:p>
        </w:tc>
        <w:tc>
          <w:tcPr>
            <w:tcW w:w="3109"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ind w:right="38" w:rightChars="18"/>
              <w:jc w:val="center"/>
              <w:textAlignment w:val="center"/>
              <w:rPr>
                <w:rFonts w:hint="eastAsia" w:ascii="黑体" w:hAnsi="仿宋" w:eastAsia="黑体" w:cs="仿宋"/>
                <w:kern w:val="0"/>
                <w:sz w:val="24"/>
                <w:lang w:bidi="ar"/>
              </w:rPr>
            </w:pPr>
            <w:r>
              <w:rPr>
                <w:rFonts w:hint="eastAsia" w:ascii="黑体" w:hAnsi="仿宋" w:eastAsia="黑体" w:cs="仿宋"/>
                <w:kern w:val="0"/>
                <w:sz w:val="24"/>
                <w:lang w:bidi="ar"/>
              </w:rPr>
              <w:t>其他要求</w:t>
            </w: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right="38" w:rightChars="18"/>
              <w:jc w:val="center"/>
              <w:textAlignment w:val="center"/>
              <w:rPr>
                <w:rFonts w:hint="eastAsia" w:ascii="黑体" w:hAnsi="仿宋" w:eastAsia="黑体" w:cs="仿宋"/>
                <w:kern w:val="0"/>
                <w:sz w:val="24"/>
                <w:lang w:bidi="ar"/>
              </w:rPr>
            </w:pPr>
            <w:r>
              <w:rPr>
                <w:rFonts w:hint="eastAsia" w:ascii="黑体" w:hAnsi="仿宋" w:eastAsia="黑体" w:cs="仿宋"/>
                <w:kern w:val="0"/>
                <w:sz w:val="24"/>
                <w:lang w:bidi="ar"/>
              </w:rPr>
              <w:t>招聘</w:t>
            </w:r>
          </w:p>
          <w:p>
            <w:pPr>
              <w:widowControl/>
              <w:ind w:right="38" w:rightChars="18"/>
              <w:jc w:val="center"/>
              <w:textAlignment w:val="center"/>
              <w:rPr>
                <w:rFonts w:hint="eastAsia" w:ascii="黑体" w:hAnsi="仿宋" w:eastAsia="黑体" w:cs="仿宋"/>
                <w:kern w:val="0"/>
                <w:sz w:val="24"/>
                <w:lang w:bidi="ar"/>
              </w:rPr>
            </w:pPr>
            <w:r>
              <w:rPr>
                <w:rFonts w:hint="eastAsia" w:ascii="黑体" w:hAnsi="仿宋" w:eastAsia="黑体" w:cs="仿宋"/>
                <w:kern w:val="0"/>
                <w:sz w:val="24"/>
                <w:lang w:bidi="ar"/>
              </w:rPr>
              <w:t>学校</w:t>
            </w:r>
          </w:p>
        </w:tc>
      </w:tr>
      <w:tr>
        <w:tblPrEx>
          <w:tblLayout w:type="fixed"/>
          <w:tblCellMar>
            <w:top w:w="0" w:type="dxa"/>
            <w:left w:w="0" w:type="dxa"/>
            <w:bottom w:w="0" w:type="dxa"/>
            <w:right w:w="0" w:type="dxa"/>
          </w:tblCellMar>
        </w:tblPrEx>
        <w:trPr>
          <w:trHeight w:val="2756" w:hRule="atLeast"/>
        </w:trPr>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_GB2312" w:hAnsi="仿宋" w:eastAsia="仿宋_GB2312" w:cs="仿宋"/>
                <w:kern w:val="0"/>
                <w:sz w:val="24"/>
                <w:lang w:bidi="ar"/>
              </w:rPr>
            </w:pPr>
            <w:r>
              <w:rPr>
                <w:rFonts w:hint="eastAsia" w:ascii="仿宋_GB2312" w:hAnsi="仿宋" w:eastAsia="仿宋_GB2312" w:cs="仿宋"/>
                <w:kern w:val="0"/>
                <w:sz w:val="24"/>
                <w:lang w:bidi="ar"/>
              </w:rPr>
              <w:t>小学语文中青年</w:t>
            </w:r>
          </w:p>
          <w:p>
            <w:pPr>
              <w:widowControl/>
              <w:jc w:val="center"/>
              <w:textAlignment w:val="center"/>
              <w:rPr>
                <w:rFonts w:hint="eastAsia" w:ascii="仿宋_GB2312" w:hAnsi="仿宋" w:eastAsia="仿宋_GB2312" w:cs="仿宋"/>
                <w:kern w:val="0"/>
                <w:sz w:val="24"/>
                <w:lang w:bidi="ar"/>
              </w:rPr>
            </w:pPr>
            <w:r>
              <w:rPr>
                <w:rFonts w:hint="eastAsia" w:ascii="仿宋_GB2312" w:hAnsi="仿宋" w:eastAsia="仿宋_GB2312" w:cs="仿宋"/>
                <w:kern w:val="0"/>
                <w:sz w:val="24"/>
                <w:lang w:bidi="ar"/>
              </w:rPr>
              <w:t>教师</w:t>
            </w:r>
          </w:p>
        </w:tc>
        <w:tc>
          <w:tcPr>
            <w:tcW w:w="90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_GB2312" w:hAnsi="仿宋" w:eastAsia="仿宋_GB2312" w:cs="仿宋"/>
                <w:sz w:val="24"/>
              </w:rPr>
            </w:pPr>
            <w:r>
              <w:rPr>
                <w:rFonts w:hint="eastAsia" w:ascii="仿宋_GB2312" w:hAnsi="仿宋" w:eastAsia="仿宋_GB2312" w:cs="仿宋"/>
                <w:kern w:val="0"/>
                <w:sz w:val="24"/>
                <w:lang w:bidi="ar"/>
              </w:rPr>
              <w:t>5</w:t>
            </w:r>
          </w:p>
        </w:tc>
        <w:tc>
          <w:tcPr>
            <w:tcW w:w="900"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_GB2312" w:hAnsi="仿宋" w:eastAsia="仿宋_GB2312" w:cs="仿宋"/>
                <w:kern w:val="0"/>
                <w:sz w:val="24"/>
                <w:lang w:bidi="ar"/>
              </w:rPr>
            </w:pPr>
            <w:r>
              <w:rPr>
                <w:rFonts w:hint="eastAsia" w:ascii="仿宋_GB2312" w:hAnsi="仿宋" w:eastAsia="仿宋_GB2312" w:cs="仿宋"/>
                <w:kern w:val="0"/>
                <w:sz w:val="24"/>
                <w:lang w:bidi="ar"/>
              </w:rPr>
              <w:t>35岁</w:t>
            </w:r>
          </w:p>
          <w:p>
            <w:pPr>
              <w:widowControl/>
              <w:jc w:val="center"/>
              <w:textAlignment w:val="center"/>
              <w:rPr>
                <w:rFonts w:hint="eastAsia" w:ascii="仿宋_GB2312" w:hAnsi="仿宋" w:eastAsia="仿宋_GB2312" w:cs="仿宋"/>
                <w:sz w:val="24"/>
              </w:rPr>
            </w:pPr>
            <w:r>
              <w:rPr>
                <w:rFonts w:hint="eastAsia" w:ascii="仿宋_GB2312" w:hAnsi="仿宋" w:eastAsia="仿宋_GB2312" w:cs="仿宋"/>
                <w:kern w:val="0"/>
                <w:sz w:val="24"/>
                <w:lang w:bidi="ar"/>
              </w:rPr>
              <w:t>及以下</w:t>
            </w:r>
          </w:p>
        </w:tc>
        <w:tc>
          <w:tcPr>
            <w:tcW w:w="84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_GB2312" w:hAnsi="仿宋" w:eastAsia="仿宋_GB2312" w:cs="仿宋"/>
                <w:sz w:val="24"/>
              </w:rPr>
            </w:pPr>
            <w:r>
              <w:rPr>
                <w:rFonts w:hint="eastAsia" w:ascii="仿宋_GB2312" w:hAnsi="仿宋" w:eastAsia="仿宋_GB2312" w:cs="仿宋"/>
                <w:kern w:val="0"/>
                <w:sz w:val="24"/>
                <w:lang w:bidi="ar"/>
              </w:rPr>
              <w:t>本科及以上</w:t>
            </w:r>
          </w:p>
        </w:tc>
        <w:tc>
          <w:tcPr>
            <w:tcW w:w="66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_GB2312" w:hAnsi="仿宋" w:eastAsia="仿宋_GB2312" w:cs="仿宋"/>
                <w:sz w:val="24"/>
              </w:rPr>
            </w:pPr>
            <w:r>
              <w:rPr>
                <w:rFonts w:hint="eastAsia" w:ascii="仿宋_GB2312" w:hAnsi="仿宋" w:eastAsia="仿宋_GB2312" w:cs="仿宋"/>
                <w:kern w:val="0"/>
                <w:sz w:val="24"/>
                <w:lang w:bidi="ar"/>
              </w:rPr>
              <w:t>不限</w:t>
            </w:r>
          </w:p>
        </w:tc>
        <w:tc>
          <w:tcPr>
            <w:tcW w:w="31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仿宋_GB2312" w:hAnsi="仿宋" w:eastAsia="仿宋_GB2312" w:cs="仿宋"/>
                <w:kern w:val="0"/>
                <w:sz w:val="24"/>
                <w:lang w:bidi="ar"/>
              </w:rPr>
            </w:pPr>
            <w:r>
              <w:rPr>
                <w:rFonts w:hint="eastAsia" w:ascii="仿宋_GB2312" w:hAnsi="仿宋" w:eastAsia="仿宋_GB2312" w:cs="仿宋"/>
                <w:kern w:val="0"/>
                <w:sz w:val="24"/>
                <w:lang w:bidi="ar"/>
              </w:rPr>
              <w:t>①省中小学未来教育家、省青年精英教师、省中小学“教育家孵化”、省中小学校长高端研修班成员、“省培”或“国培”计划培训专家库成员；</w:t>
            </w:r>
          </w:p>
          <w:p>
            <w:pPr>
              <w:widowControl/>
              <w:textAlignment w:val="center"/>
              <w:rPr>
                <w:rFonts w:hint="eastAsia" w:ascii="仿宋_GB2312" w:hAnsi="仿宋" w:eastAsia="仿宋_GB2312" w:cs="仿宋"/>
                <w:kern w:val="0"/>
                <w:sz w:val="24"/>
                <w:lang w:bidi="ar"/>
              </w:rPr>
            </w:pPr>
            <w:r>
              <w:rPr>
                <w:rFonts w:hint="eastAsia" w:ascii="仿宋_GB2312" w:hAnsi="仿宋" w:eastAsia="仿宋_GB2312" w:cs="仿宋"/>
                <w:kern w:val="0"/>
                <w:sz w:val="24"/>
                <w:lang w:bidi="ar"/>
              </w:rPr>
              <w:t>②近五年内在小学岗位上被评为市级及以上优秀教师、优秀教育工作者、劳动模范；</w:t>
            </w:r>
          </w:p>
          <w:p>
            <w:pPr>
              <w:widowControl/>
              <w:textAlignment w:val="center"/>
              <w:rPr>
                <w:rFonts w:hint="eastAsia" w:ascii="仿宋_GB2312" w:hAnsi="仿宋" w:eastAsia="仿宋_GB2312" w:cs="仿宋"/>
                <w:kern w:val="0"/>
                <w:sz w:val="24"/>
                <w:lang w:bidi="ar"/>
              </w:rPr>
            </w:pPr>
            <w:r>
              <w:rPr>
                <w:rFonts w:hint="eastAsia" w:ascii="仿宋_GB2312" w:hAnsi="仿宋" w:eastAsia="仿宋_GB2312" w:cs="仿宋"/>
                <w:kern w:val="0"/>
                <w:sz w:val="24"/>
                <w:lang w:bidi="ar"/>
              </w:rPr>
              <w:t>③近五年内被县级及以上教育行政部门认定为小学相应学科的名师、学科带头人、骨干教师或近三年内参加县级及以上小学学科“课堂教学比武（含片段教学）、说课、微课、科研课题评优”一等奖及以上获得者；</w:t>
            </w:r>
          </w:p>
          <w:p>
            <w:pPr>
              <w:widowControl/>
              <w:textAlignment w:val="center"/>
              <w:rPr>
                <w:rFonts w:hint="eastAsia" w:ascii="仿宋_GB2312" w:hAnsi="仿宋" w:eastAsia="仿宋_GB2312" w:cs="仿宋"/>
                <w:kern w:val="0"/>
                <w:sz w:val="24"/>
                <w:lang w:bidi="ar"/>
              </w:rPr>
            </w:pPr>
            <w:r>
              <w:rPr>
                <w:rFonts w:hint="eastAsia" w:ascii="仿宋_GB2312" w:hAnsi="仿宋" w:eastAsia="仿宋_GB2312" w:cs="仿宋"/>
                <w:kern w:val="0"/>
                <w:sz w:val="24"/>
                <w:lang w:bidi="ar"/>
              </w:rPr>
              <w:t>④以上三项中满足其中的任一条件均可报名；</w:t>
            </w:r>
          </w:p>
          <w:p>
            <w:pPr>
              <w:widowControl/>
              <w:textAlignment w:val="center"/>
              <w:rPr>
                <w:rFonts w:hint="eastAsia" w:ascii="仿宋_GB2312" w:hAnsi="仿宋" w:eastAsia="仿宋_GB2312"/>
                <w:sz w:val="24"/>
              </w:rPr>
            </w:pPr>
            <w:r>
              <w:rPr>
                <w:rFonts w:hint="eastAsia" w:ascii="仿宋_GB2312" w:hAnsi="仿宋" w:eastAsia="仿宋_GB2312" w:cs="仿宋"/>
                <w:kern w:val="0"/>
                <w:sz w:val="24"/>
                <w:lang w:bidi="ar"/>
              </w:rPr>
              <w:t>⑤具有小学及以上层次相应学科教师资格证。</w:t>
            </w:r>
          </w:p>
        </w:tc>
        <w:tc>
          <w:tcPr>
            <w:tcW w:w="114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_GB2312" w:hAnsi="仿宋" w:eastAsia="仿宋_GB2312" w:cs="仿宋"/>
                <w:sz w:val="24"/>
              </w:rPr>
            </w:pPr>
            <w:r>
              <w:rPr>
                <w:rFonts w:hint="eastAsia" w:ascii="仿宋_GB2312" w:hAnsi="仿宋" w:eastAsia="仿宋_GB2312" w:cs="仿宋"/>
                <w:sz w:val="24"/>
              </w:rPr>
              <w:t>①育英德景园小学②北正街恒大华府小学</w:t>
            </w:r>
          </w:p>
          <w:p>
            <w:pPr>
              <w:widowControl/>
              <w:jc w:val="center"/>
              <w:textAlignment w:val="center"/>
              <w:rPr>
                <w:rFonts w:hint="eastAsia" w:ascii="仿宋_GB2312" w:hAnsi="仿宋" w:eastAsia="仿宋_GB2312" w:cs="仿宋"/>
                <w:sz w:val="24"/>
              </w:rPr>
            </w:pPr>
            <w:r>
              <w:rPr>
                <w:rFonts w:hint="eastAsia" w:ascii="仿宋_GB2312" w:hAnsi="仿宋" w:eastAsia="仿宋_GB2312" w:cs="仿宋"/>
                <w:sz w:val="24"/>
              </w:rPr>
              <w:t>③武陵区沙港小学（第五小学）</w:t>
            </w:r>
          </w:p>
        </w:tc>
      </w:tr>
      <w:tr>
        <w:tblPrEx>
          <w:tblLayout w:type="fixed"/>
          <w:tblCellMar>
            <w:top w:w="0" w:type="dxa"/>
            <w:left w:w="0" w:type="dxa"/>
            <w:bottom w:w="0" w:type="dxa"/>
            <w:right w:w="0" w:type="dxa"/>
          </w:tblCellMar>
        </w:tblPrEx>
        <w:trPr>
          <w:trHeight w:val="3760" w:hRule="atLeast"/>
        </w:trPr>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_GB2312" w:hAnsi="仿宋" w:eastAsia="仿宋_GB2312" w:cs="仿宋"/>
                <w:kern w:val="0"/>
                <w:sz w:val="24"/>
                <w:lang w:bidi="ar"/>
              </w:rPr>
            </w:pPr>
            <w:r>
              <w:rPr>
                <w:rFonts w:hint="eastAsia" w:ascii="仿宋_GB2312" w:hAnsi="仿宋" w:eastAsia="仿宋_GB2312" w:cs="仿宋"/>
                <w:kern w:val="0"/>
                <w:sz w:val="24"/>
                <w:lang w:bidi="ar"/>
              </w:rPr>
              <w:t>小学数学中青年</w:t>
            </w:r>
          </w:p>
          <w:p>
            <w:pPr>
              <w:widowControl/>
              <w:jc w:val="center"/>
              <w:textAlignment w:val="center"/>
              <w:rPr>
                <w:rFonts w:hint="eastAsia" w:ascii="仿宋_GB2312" w:hAnsi="仿宋" w:eastAsia="仿宋_GB2312" w:cs="仿宋"/>
                <w:kern w:val="0"/>
                <w:sz w:val="24"/>
                <w:lang w:bidi="ar"/>
              </w:rPr>
            </w:pPr>
            <w:r>
              <w:rPr>
                <w:rFonts w:hint="eastAsia" w:ascii="仿宋_GB2312" w:hAnsi="仿宋" w:eastAsia="仿宋_GB2312" w:cs="仿宋"/>
                <w:kern w:val="0"/>
                <w:sz w:val="24"/>
                <w:lang w:bidi="ar"/>
              </w:rPr>
              <w:t>教师</w:t>
            </w:r>
          </w:p>
        </w:tc>
        <w:tc>
          <w:tcPr>
            <w:tcW w:w="90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_GB2312" w:hAnsi="仿宋" w:eastAsia="仿宋_GB2312" w:cs="仿宋"/>
                <w:kern w:val="0"/>
                <w:sz w:val="24"/>
                <w:lang w:bidi="ar"/>
              </w:rPr>
            </w:pPr>
            <w:r>
              <w:rPr>
                <w:rFonts w:hint="eastAsia" w:ascii="仿宋_GB2312" w:hAnsi="仿宋" w:eastAsia="仿宋_GB2312" w:cs="仿宋"/>
                <w:kern w:val="0"/>
                <w:sz w:val="24"/>
                <w:lang w:bidi="ar"/>
              </w:rPr>
              <w:t>3</w:t>
            </w:r>
          </w:p>
        </w:tc>
        <w:tc>
          <w:tcPr>
            <w:tcW w:w="90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仿宋" w:eastAsia="仿宋_GB2312" w:cs="仿宋"/>
                <w:kern w:val="0"/>
                <w:sz w:val="24"/>
                <w:lang w:bidi="ar"/>
              </w:rPr>
            </w:pPr>
          </w:p>
        </w:tc>
        <w:tc>
          <w:tcPr>
            <w:tcW w:w="84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仿宋" w:eastAsia="仿宋_GB2312" w:cs="仿宋"/>
                <w:sz w:val="28"/>
                <w:szCs w:val="28"/>
              </w:rPr>
            </w:pPr>
          </w:p>
        </w:tc>
        <w:tc>
          <w:tcPr>
            <w:tcW w:w="66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仿宋" w:eastAsia="仿宋_GB2312" w:cs="仿宋"/>
                <w:sz w:val="28"/>
                <w:szCs w:val="28"/>
              </w:rPr>
            </w:pPr>
          </w:p>
        </w:tc>
        <w:tc>
          <w:tcPr>
            <w:tcW w:w="31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仿宋" w:eastAsia="仿宋_GB2312"/>
                <w:sz w:val="28"/>
                <w:szCs w:val="28"/>
              </w:rPr>
            </w:pPr>
          </w:p>
        </w:tc>
        <w:tc>
          <w:tcPr>
            <w:tcW w:w="114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仿宋" w:eastAsia="仿宋_GB2312" w:cs="仿宋"/>
                <w:sz w:val="28"/>
                <w:szCs w:val="28"/>
              </w:rPr>
            </w:pPr>
          </w:p>
        </w:tc>
      </w:tr>
    </w:tbl>
    <w:p>
      <w:pPr>
        <w:widowControl/>
        <w:rPr>
          <w:rFonts w:hint="eastAsia" w:ascii="仿宋_GB2312" w:hAnsi="仿宋" w:eastAsia="仿宋_GB2312" w:cs="仿宋"/>
          <w:kern w:val="0"/>
          <w:sz w:val="24"/>
          <w:lang w:bidi="ar"/>
        </w:rPr>
      </w:pPr>
      <w:r>
        <w:rPr>
          <w:rFonts w:hint="eastAsia" w:ascii="仿宋_GB2312" w:hAnsi="仿宋" w:eastAsia="仿宋_GB2312" w:cs="仿宋"/>
          <w:kern w:val="0"/>
          <w:sz w:val="24"/>
          <w:lang w:bidi="ar"/>
        </w:rPr>
        <w:t>注：</w:t>
      </w:r>
    </w:p>
    <w:p>
      <w:pPr>
        <w:widowControl/>
        <w:ind w:firstLine="480" w:firstLineChars="200"/>
        <w:rPr>
          <w:rFonts w:hint="eastAsia" w:ascii="仿宋_GB2312" w:hAnsi="仿宋" w:eastAsia="仿宋_GB2312" w:cs="仿宋"/>
          <w:kern w:val="0"/>
          <w:sz w:val="24"/>
          <w:lang w:bidi="ar"/>
        </w:rPr>
      </w:pPr>
      <w:r>
        <w:rPr>
          <w:rFonts w:hint="eastAsia" w:ascii="仿宋_GB2312" w:hAnsi="仿宋" w:eastAsia="仿宋_GB2312" w:cs="仿宋"/>
          <w:kern w:val="0"/>
          <w:sz w:val="24"/>
          <w:lang w:bidi="ar"/>
        </w:rPr>
        <w:t>1.应聘对象必须是公办学校在编在岗教师；</w:t>
      </w:r>
    </w:p>
    <w:p>
      <w:pPr>
        <w:widowControl/>
        <w:ind w:firstLine="480" w:firstLineChars="200"/>
        <w:rPr>
          <w:rFonts w:hint="eastAsia" w:ascii="仿宋_GB2312" w:hAnsi="仿宋" w:eastAsia="仿宋_GB2312" w:cs="仿宋"/>
          <w:kern w:val="0"/>
          <w:sz w:val="24"/>
          <w:lang w:bidi="ar"/>
        </w:rPr>
      </w:pPr>
      <w:r>
        <w:rPr>
          <w:rStyle w:val="4"/>
          <w:rFonts w:hint="eastAsia" w:ascii="仿宋_GB2312" w:eastAsia="仿宋_GB2312"/>
          <w:color w:val="auto"/>
          <w:sz w:val="24"/>
          <w:lang w:bidi="ar"/>
        </w:rPr>
        <w:t>2.</w:t>
      </w:r>
      <w:r>
        <w:rPr>
          <w:rFonts w:hint="eastAsia" w:ascii="仿宋_GB2312" w:hAnsi="仿宋" w:eastAsia="仿宋_GB2312" w:cs="仿宋"/>
          <w:kern w:val="0"/>
          <w:sz w:val="24"/>
          <w:lang w:bidi="ar"/>
        </w:rPr>
        <w:t>年龄35岁及以下是指1984年1月1日及以后出生；</w:t>
      </w:r>
    </w:p>
    <w:p>
      <w:pPr>
        <w:widowControl/>
        <w:ind w:firstLine="480" w:firstLineChars="200"/>
        <w:rPr>
          <w:rStyle w:val="4"/>
          <w:rFonts w:hint="eastAsia" w:ascii="仿宋_GB2312" w:eastAsia="仿宋_GB2312"/>
          <w:color w:val="auto"/>
          <w:sz w:val="24"/>
          <w:lang w:bidi="ar"/>
        </w:rPr>
      </w:pPr>
      <w:r>
        <w:rPr>
          <w:rFonts w:hint="eastAsia" w:ascii="仿宋_GB2312" w:hAnsi="仿宋" w:eastAsia="仿宋_GB2312" w:cs="仿宋"/>
          <w:kern w:val="0"/>
          <w:sz w:val="24"/>
          <w:lang w:bidi="ar"/>
        </w:rPr>
        <w:t>3.</w:t>
      </w:r>
      <w:r>
        <w:rPr>
          <w:rStyle w:val="4"/>
          <w:rFonts w:hint="eastAsia" w:ascii="仿宋_GB2312" w:eastAsia="仿宋_GB2312"/>
          <w:color w:val="auto"/>
          <w:sz w:val="24"/>
          <w:lang w:bidi="ar"/>
        </w:rPr>
        <w:t>小学语文中青年教师须持“二级甲等及以上的普通话证书”；</w:t>
      </w:r>
    </w:p>
    <w:p>
      <w:pPr>
        <w:widowControl/>
        <w:ind w:firstLine="480" w:firstLineChars="200"/>
        <w:rPr>
          <w:rFonts w:hint="eastAsia" w:ascii="仿宋_GB2312" w:hAnsi="仿宋" w:eastAsia="仿宋_GB2312" w:cs="仿宋"/>
          <w:kern w:val="0"/>
          <w:sz w:val="24"/>
          <w:lang w:bidi="ar"/>
        </w:rPr>
      </w:pPr>
      <w:r>
        <w:rPr>
          <w:rFonts w:hint="eastAsia" w:ascii="仿宋_GB2312" w:hAnsi="仿宋" w:eastAsia="仿宋_GB2312" w:cs="仿宋"/>
          <w:kern w:val="0"/>
          <w:sz w:val="24"/>
          <w:lang w:bidi="ar"/>
        </w:rPr>
        <w:t>4</w:t>
      </w:r>
      <w:r>
        <w:rPr>
          <w:rStyle w:val="4"/>
          <w:rFonts w:hint="eastAsia" w:ascii="仿宋_GB2312" w:eastAsia="仿宋_GB2312"/>
          <w:color w:val="auto"/>
          <w:sz w:val="24"/>
          <w:lang w:bidi="ar"/>
        </w:rPr>
        <w:t>.</w:t>
      </w:r>
      <w:r>
        <w:rPr>
          <w:rFonts w:hint="eastAsia" w:ascii="仿宋_GB2312" w:hAnsi="仿宋" w:eastAsia="仿宋_GB2312" w:cs="仿宋"/>
          <w:kern w:val="0"/>
          <w:sz w:val="24"/>
          <w:lang w:bidi="ar"/>
        </w:rPr>
        <w:t>近三年年度考核为合格及以上等次；</w:t>
      </w:r>
    </w:p>
    <w:p>
      <w:pPr>
        <w:widowControl/>
        <w:ind w:firstLine="482" w:firstLineChars="200"/>
        <w:rPr>
          <w:rFonts w:hint="eastAsia" w:ascii="仿宋_GB2312" w:hAnsi="仿宋" w:eastAsia="仿宋_GB2312" w:cs="仿宋"/>
          <w:b/>
          <w:kern w:val="0"/>
          <w:sz w:val="24"/>
          <w:lang w:bidi="ar"/>
        </w:rPr>
      </w:pPr>
      <w:r>
        <w:rPr>
          <w:rFonts w:hint="eastAsia" w:ascii="仿宋_GB2312" w:hAnsi="仿宋" w:eastAsia="仿宋_GB2312" w:cs="仿宋"/>
          <w:b/>
          <w:kern w:val="0"/>
          <w:sz w:val="24"/>
          <w:lang w:bidi="ar"/>
        </w:rPr>
        <w:t>5.体检合格人员于2019年7月31日前提交本人档案及相关证件，逾期视为自动放弃；</w:t>
      </w:r>
    </w:p>
    <w:p>
      <w:pPr>
        <w:adjustRightInd w:val="0"/>
        <w:snapToGrid w:val="0"/>
        <w:ind w:firstLine="480" w:firstLineChars="200"/>
        <w:rPr>
          <w:rFonts w:hint="eastAsia" w:ascii="仿宋_GB2312" w:eastAsia="仿宋_GB2312"/>
        </w:rPr>
      </w:pPr>
      <w:r>
        <w:rPr>
          <w:rFonts w:hint="eastAsia" w:ascii="仿宋_GB2312" w:hAnsi="仿宋" w:eastAsia="仿宋_GB2312" w:cs="仿宋"/>
          <w:kern w:val="0"/>
          <w:sz w:val="24"/>
          <w:lang w:bidi="ar"/>
        </w:rPr>
        <w:t>6.根据同一岗位考试综合成绩从高分到低分依次由拟聘对象自主选择有招聘计划的学校，不选择或不到所选择的学校、学科岗位工作的，按自动弃权处理，且三年内不准参加武陵区教师招聘考试。</w:t>
      </w:r>
    </w:p>
    <w:p>
      <w:bookmarkStart w:id="0" w:name="_GoBack"/>
      <w:bookmarkEnd w:id="0"/>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06EE6A5-8868-43C5-9557-C50C453835D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60C40AC4-B2E3-4D1A-A5DD-D75C948DB335}"/>
  </w:font>
  <w:font w:name="仿宋_GB2312">
    <w:panose1 w:val="02010609030101010101"/>
    <w:charset w:val="86"/>
    <w:family w:val="modern"/>
    <w:pitch w:val="default"/>
    <w:sig w:usb0="00000001" w:usb1="080E0000" w:usb2="00000000" w:usb3="00000000" w:csb0="00040000" w:csb1="00000000"/>
    <w:embedRegular r:id="rId3" w:fontKey="{BE330398-0C52-43C3-A0A2-9B55439134F8}"/>
  </w:font>
  <w:font w:name="方正小标宋简体">
    <w:panose1 w:val="02000000000000000000"/>
    <w:charset w:val="86"/>
    <w:family w:val="auto"/>
    <w:pitch w:val="default"/>
    <w:sig w:usb0="00000001" w:usb1="080E0000" w:usb2="00000000" w:usb3="00000000" w:csb0="00040000" w:csb1="00000000"/>
    <w:embedRegular r:id="rId4" w:fontKey="{BD3E9CC4-3B35-4572-8874-65D50979A0F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06F87"/>
    <w:rsid w:val="4E006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11"/>
    <w:basedOn w:val="3"/>
    <w:qFormat/>
    <w:uiPriority w:val="0"/>
    <w:rPr>
      <w:rFonts w:hint="default"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2019-05-17T08:03:00Z</dcterms:created>
  <dc:creator>雅小文文文</dc:creator>
  <cp:lastModifiedBy>雅小文文文</cp:lastModifiedBy>
  <dcterms:modified xsi:type="dcterms:W3CDTF">2019-05-17T08:03:11Z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