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CB" w:rsidRDefault="007600FD">
      <w:r>
        <w:t xml:space="preserve">　　 </w:t>
      </w:r>
    </w:p>
    <w:tbl>
      <w:tblPr>
        <w:tblW w:w="10380" w:type="dxa"/>
        <w:jc w:val="center"/>
        <w:tblCellMar>
          <w:left w:w="0" w:type="dxa"/>
          <w:right w:w="0" w:type="dxa"/>
        </w:tblCellMar>
        <w:tblLook w:val="04A0"/>
      </w:tblPr>
      <w:tblGrid>
        <w:gridCol w:w="640"/>
        <w:gridCol w:w="1630"/>
        <w:gridCol w:w="5530"/>
        <w:gridCol w:w="2730"/>
      </w:tblGrid>
      <w:tr w:rsidR="001D69CB">
        <w:trPr>
          <w:trHeight w:val="555"/>
          <w:jc w:val="center"/>
        </w:trPr>
        <w:tc>
          <w:tcPr>
            <w:tcW w:w="640" w:type="dxa"/>
            <w:shd w:val="clear" w:color="auto" w:fill="auto"/>
            <w:noWrap/>
            <w:tcMar>
              <w:top w:w="15" w:type="dxa"/>
              <w:left w:w="15" w:type="dxa"/>
              <w:bottom w:w="0" w:type="dxa"/>
              <w:right w:w="15" w:type="dxa"/>
            </w:tcMar>
            <w:vAlign w:val="center"/>
            <w:hideMark/>
          </w:tcPr>
          <w:p w:rsidR="001D69CB" w:rsidRDefault="007600FD">
            <w:pPr>
              <w:rPr>
                <w:color w:val="000000"/>
                <w:sz w:val="22"/>
                <w:szCs w:val="22"/>
              </w:rPr>
            </w:pPr>
            <w:r>
              <w:rPr>
                <w:rFonts w:hint="eastAsia"/>
                <w:color w:val="000000"/>
                <w:sz w:val="22"/>
                <w:szCs w:val="22"/>
              </w:rPr>
              <w:t>附件2</w:t>
            </w:r>
          </w:p>
        </w:tc>
        <w:tc>
          <w:tcPr>
            <w:tcW w:w="9740" w:type="dxa"/>
            <w:gridSpan w:val="3"/>
            <w:shd w:val="clear" w:color="auto" w:fill="auto"/>
            <w:noWrap/>
            <w:tcMar>
              <w:top w:w="15" w:type="dxa"/>
              <w:left w:w="15" w:type="dxa"/>
              <w:bottom w:w="0" w:type="dxa"/>
              <w:right w:w="15" w:type="dxa"/>
            </w:tcMar>
            <w:vAlign w:val="center"/>
            <w:hideMark/>
          </w:tcPr>
          <w:p w:rsidR="001D69CB" w:rsidRDefault="007600FD">
            <w:pPr>
              <w:jc w:val="center"/>
              <w:rPr>
                <w:color w:val="000000"/>
                <w:sz w:val="32"/>
                <w:szCs w:val="32"/>
              </w:rPr>
            </w:pPr>
            <w:r>
              <w:rPr>
                <w:rFonts w:hint="eastAsia"/>
                <w:color w:val="000000"/>
                <w:sz w:val="32"/>
                <w:szCs w:val="32"/>
              </w:rPr>
              <w:t>2018学年广州市南沙区榄核镇学校服务外包教师岗位入库考试</w:t>
            </w:r>
          </w:p>
        </w:tc>
      </w:tr>
      <w:tr w:rsidR="001D69CB">
        <w:trPr>
          <w:trHeight w:val="510"/>
          <w:jc w:val="center"/>
        </w:trPr>
        <w:tc>
          <w:tcPr>
            <w:tcW w:w="0" w:type="auto"/>
            <w:gridSpan w:val="4"/>
            <w:shd w:val="clear" w:color="auto" w:fill="auto"/>
            <w:noWrap/>
            <w:tcMar>
              <w:top w:w="15" w:type="dxa"/>
              <w:left w:w="15" w:type="dxa"/>
              <w:bottom w:w="0" w:type="dxa"/>
              <w:right w:w="15" w:type="dxa"/>
            </w:tcMar>
            <w:vAlign w:val="center"/>
            <w:hideMark/>
          </w:tcPr>
          <w:p w:rsidR="001D69CB" w:rsidRDefault="007600FD">
            <w:pPr>
              <w:jc w:val="center"/>
              <w:rPr>
                <w:rFonts w:ascii="Courier New" w:hAnsi="Courier New"/>
                <w:color w:val="000000"/>
                <w:sz w:val="40"/>
                <w:szCs w:val="40"/>
              </w:rPr>
            </w:pPr>
            <w:r>
              <w:rPr>
                <w:rFonts w:ascii="Courier New" w:hAnsi="Courier New"/>
                <w:color w:val="000000"/>
                <w:sz w:val="40"/>
                <w:szCs w:val="40"/>
              </w:rPr>
              <w:t>岗位专业要求目录表</w:t>
            </w:r>
          </w:p>
        </w:tc>
      </w:tr>
      <w:tr w:rsidR="001D69CB">
        <w:trPr>
          <w:trHeight w:val="90"/>
          <w:jc w:val="center"/>
        </w:trPr>
        <w:tc>
          <w:tcPr>
            <w:tcW w:w="0" w:type="auto"/>
            <w:shd w:val="clear" w:color="auto" w:fill="auto"/>
            <w:noWrap/>
            <w:tcMar>
              <w:top w:w="15" w:type="dxa"/>
              <w:left w:w="15" w:type="dxa"/>
              <w:bottom w:w="0" w:type="dxa"/>
              <w:right w:w="15" w:type="dxa"/>
            </w:tcMar>
            <w:vAlign w:val="center"/>
            <w:hideMark/>
          </w:tcPr>
          <w:p w:rsidR="001D69CB" w:rsidRDefault="001D69CB">
            <w:pPr>
              <w:rPr>
                <w:color w:val="000000"/>
                <w:sz w:val="22"/>
                <w:szCs w:val="22"/>
              </w:rPr>
            </w:pPr>
          </w:p>
        </w:tc>
        <w:tc>
          <w:tcPr>
            <w:tcW w:w="0" w:type="auto"/>
            <w:shd w:val="clear" w:color="auto" w:fill="auto"/>
            <w:noWrap/>
            <w:tcMar>
              <w:top w:w="15" w:type="dxa"/>
              <w:left w:w="15" w:type="dxa"/>
              <w:bottom w:w="0" w:type="dxa"/>
              <w:right w:w="15" w:type="dxa"/>
            </w:tcMar>
            <w:vAlign w:val="center"/>
            <w:hideMark/>
          </w:tcPr>
          <w:p w:rsidR="001D69CB" w:rsidRDefault="001D69CB">
            <w:pPr>
              <w:rPr>
                <w:color w:val="000000"/>
                <w:sz w:val="22"/>
                <w:szCs w:val="22"/>
              </w:rPr>
            </w:pPr>
          </w:p>
        </w:tc>
        <w:tc>
          <w:tcPr>
            <w:tcW w:w="0" w:type="auto"/>
            <w:shd w:val="clear" w:color="auto" w:fill="auto"/>
            <w:noWrap/>
            <w:tcMar>
              <w:top w:w="15" w:type="dxa"/>
              <w:left w:w="15" w:type="dxa"/>
              <w:bottom w:w="0" w:type="dxa"/>
              <w:right w:w="15" w:type="dxa"/>
            </w:tcMar>
            <w:vAlign w:val="center"/>
            <w:hideMark/>
          </w:tcPr>
          <w:p w:rsidR="001D69CB" w:rsidRDefault="001D69CB">
            <w:pPr>
              <w:rPr>
                <w:color w:val="000000"/>
                <w:sz w:val="22"/>
                <w:szCs w:val="22"/>
              </w:rPr>
            </w:pPr>
          </w:p>
        </w:tc>
        <w:tc>
          <w:tcPr>
            <w:tcW w:w="0" w:type="auto"/>
            <w:shd w:val="clear" w:color="auto" w:fill="auto"/>
            <w:noWrap/>
            <w:tcMar>
              <w:top w:w="15" w:type="dxa"/>
              <w:left w:w="15" w:type="dxa"/>
              <w:bottom w:w="0" w:type="dxa"/>
              <w:right w:w="15" w:type="dxa"/>
            </w:tcMar>
            <w:vAlign w:val="center"/>
            <w:hideMark/>
          </w:tcPr>
          <w:p w:rsidR="001D69CB" w:rsidRDefault="001D69CB">
            <w:pPr>
              <w:rPr>
                <w:color w:val="000000"/>
                <w:sz w:val="22"/>
                <w:szCs w:val="22"/>
              </w:rPr>
            </w:pPr>
          </w:p>
        </w:tc>
      </w:tr>
      <w:tr w:rsidR="001D69CB">
        <w:trPr>
          <w:trHeight w:val="81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color w:val="000000"/>
                <w:sz w:val="28"/>
                <w:szCs w:val="28"/>
              </w:rPr>
            </w:pPr>
            <w:r>
              <w:rPr>
                <w:rFonts w:hint="eastAsia"/>
                <w:color w:val="000000"/>
                <w:sz w:val="28"/>
                <w:szCs w:val="28"/>
              </w:rPr>
              <w:t>序号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color w:val="000000"/>
                <w:sz w:val="28"/>
                <w:szCs w:val="28"/>
              </w:rPr>
            </w:pPr>
            <w:r>
              <w:rPr>
                <w:rFonts w:hint="eastAsia"/>
                <w:color w:val="000000"/>
                <w:sz w:val="28"/>
                <w:szCs w:val="28"/>
              </w:rPr>
              <w:t>岗位</w:t>
            </w:r>
          </w:p>
        </w:tc>
        <w:tc>
          <w:tcPr>
            <w:tcW w:w="79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1D69CB" w:rsidRDefault="007600FD">
            <w:pPr>
              <w:jc w:val="center"/>
              <w:rPr>
                <w:b/>
                <w:bCs/>
                <w:sz w:val="28"/>
                <w:szCs w:val="28"/>
              </w:rPr>
            </w:pPr>
            <w:r>
              <w:rPr>
                <w:rFonts w:hint="eastAsia"/>
                <w:b/>
                <w:bCs/>
                <w:sz w:val="28"/>
                <w:szCs w:val="28"/>
              </w:rPr>
              <w:t>专业要求（报考人员所学专业未列入专业目录[或没有专业代码]的须符合备注要求）</w:t>
            </w:r>
          </w:p>
        </w:tc>
      </w:tr>
      <w:tr w:rsidR="001D69CB">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9CB" w:rsidRDefault="001D69CB">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9CB" w:rsidRDefault="001D69CB">
            <w:pPr>
              <w:rPr>
                <w:color w:val="000000"/>
                <w:sz w:val="28"/>
                <w:szCs w:val="2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color w:val="000000"/>
                <w:sz w:val="28"/>
                <w:szCs w:val="28"/>
              </w:rPr>
            </w:pPr>
            <w:r>
              <w:rPr>
                <w:rFonts w:hint="eastAsia"/>
                <w:color w:val="000000"/>
                <w:sz w:val="28"/>
                <w:szCs w:val="28"/>
              </w:rPr>
              <w:t>本科</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color w:val="000000"/>
                <w:sz w:val="28"/>
                <w:szCs w:val="28"/>
              </w:rPr>
            </w:pPr>
            <w:r>
              <w:rPr>
                <w:rFonts w:hint="eastAsia"/>
                <w:color w:val="000000"/>
                <w:sz w:val="28"/>
                <w:szCs w:val="28"/>
              </w:rPr>
              <w:t>研究生</w:t>
            </w:r>
          </w:p>
        </w:tc>
      </w:tr>
      <w:tr w:rsidR="001D69CB">
        <w:trPr>
          <w:trHeight w:val="6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中小学语文教师</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教育学类（汉语言文学教育方向）/中国语言文学类（B0401/B0501）</w:t>
            </w:r>
          </w:p>
        </w:tc>
        <w:tc>
          <w:tcPr>
            <w:tcW w:w="3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教育学（汉语言文学教育方向）/中国语言文学（A0401/A0501）</w:t>
            </w:r>
          </w:p>
        </w:tc>
      </w:tr>
      <w:tr w:rsidR="001D69CB">
        <w:trPr>
          <w:trHeight w:val="6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中小学数学教师</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教育学类（数学教育方向）/数学类（B0401/B0701）</w:t>
            </w:r>
          </w:p>
        </w:tc>
        <w:tc>
          <w:tcPr>
            <w:tcW w:w="3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教育学（数学教育方向）/数学（A0401/A0701）</w:t>
            </w:r>
          </w:p>
        </w:tc>
      </w:tr>
      <w:tr w:rsidR="001D69CB">
        <w:trPr>
          <w:trHeight w:val="6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中小学英语教师</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教育学类（英语教育方向）/外国语言文学类（英语)（B0401/B050201）</w:t>
            </w:r>
          </w:p>
        </w:tc>
        <w:tc>
          <w:tcPr>
            <w:tcW w:w="3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教育学（英语教育方向）/外国语言文学（英语语言方向)（A0401/A050201/A050211）</w:t>
            </w:r>
          </w:p>
        </w:tc>
      </w:tr>
      <w:tr w:rsidR="001D69CB">
        <w:trPr>
          <w:trHeight w:val="6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中学政治教师</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教育学（政治教育方向）法学类（B0401/B0304）</w:t>
            </w:r>
          </w:p>
        </w:tc>
        <w:tc>
          <w:tcPr>
            <w:tcW w:w="3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教育学（政治教育方向）法学类（A0401/A0302）</w:t>
            </w:r>
          </w:p>
        </w:tc>
      </w:tr>
      <w:tr w:rsidR="001D69CB">
        <w:trPr>
          <w:trHeight w:val="6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中学生物教师</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教育学（生物教育方向）生物学类（B0401/B0704）</w:t>
            </w:r>
          </w:p>
        </w:tc>
        <w:tc>
          <w:tcPr>
            <w:tcW w:w="3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教育学（生物教育方向）生物学类（A0401/A0710）</w:t>
            </w:r>
          </w:p>
        </w:tc>
      </w:tr>
      <w:tr w:rsidR="001D69CB">
        <w:trPr>
          <w:trHeight w:val="6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中学物理教师</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教育学（物理教育方向）理学类（B0401/B0702/B0708）</w:t>
            </w:r>
          </w:p>
        </w:tc>
        <w:tc>
          <w:tcPr>
            <w:tcW w:w="3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教育学（物理教育方向）理学类（A0401/A0702/A0708）</w:t>
            </w:r>
          </w:p>
        </w:tc>
      </w:tr>
      <w:tr w:rsidR="001D69CB">
        <w:trPr>
          <w:trHeight w:val="6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中学化学教师</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教育学（化学教育方向）理学（B0401/B0703）</w:t>
            </w:r>
          </w:p>
        </w:tc>
        <w:tc>
          <w:tcPr>
            <w:tcW w:w="3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教育学（化学教育方向）理学（A0401/A0703）</w:t>
            </w:r>
          </w:p>
        </w:tc>
      </w:tr>
      <w:tr w:rsidR="001D69CB">
        <w:trPr>
          <w:trHeight w:val="6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中学地理教师</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教育学（地理教育方向）地理学类（B0401/B0707/B0708）</w:t>
            </w:r>
          </w:p>
        </w:tc>
        <w:tc>
          <w:tcPr>
            <w:tcW w:w="3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教育学（地理教育方向）地理学类（A0401/A0705）</w:t>
            </w:r>
          </w:p>
        </w:tc>
      </w:tr>
      <w:tr w:rsidR="001D69CB">
        <w:trPr>
          <w:trHeight w:val="6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中学历史教师</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教育学（历史教育方向）历史学类（B0401/B0601）</w:t>
            </w:r>
          </w:p>
        </w:tc>
        <w:tc>
          <w:tcPr>
            <w:tcW w:w="3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教育学（历史教育方向）历史学类（A0401/A0601/A0602/A0603）</w:t>
            </w:r>
          </w:p>
        </w:tc>
      </w:tr>
      <w:tr w:rsidR="001D69CB">
        <w:trPr>
          <w:trHeight w:val="177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小学信息技术教师</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rPr>
                <w:rFonts w:ascii="仿宋" w:eastAsia="仿宋" w:hAnsi="仿宋"/>
                <w:color w:val="000000"/>
                <w:sz w:val="20"/>
                <w:szCs w:val="20"/>
              </w:rPr>
            </w:pPr>
            <w:r>
              <w:rPr>
                <w:rFonts w:ascii="仿宋" w:eastAsia="仿宋" w:hAnsi="仿宋" w:hint="eastAsia"/>
                <w:color w:val="000000"/>
                <w:sz w:val="20"/>
                <w:szCs w:val="20"/>
              </w:rPr>
              <w:t>电子信息科学类(B0712)、电子信息工程（B080603)、通信工程(B080604)、计算机科学与技术(B080605)、电子科学与技术(B080606)、信息工程（B080609）、软件工程（B080611）、网络工程（B080613）、计算机软件（B080619）、信息与通信工程（B080634)、教育技术学（B040104）</w:t>
            </w:r>
          </w:p>
        </w:tc>
        <w:tc>
          <w:tcPr>
            <w:tcW w:w="3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rPr>
                <w:rFonts w:ascii="仿宋" w:eastAsia="仿宋" w:hAnsi="仿宋"/>
                <w:color w:val="000000"/>
                <w:sz w:val="20"/>
                <w:szCs w:val="20"/>
              </w:rPr>
            </w:pPr>
            <w:r>
              <w:rPr>
                <w:rFonts w:ascii="仿宋" w:eastAsia="仿宋" w:hAnsi="仿宋" w:hint="eastAsia"/>
                <w:color w:val="000000"/>
                <w:sz w:val="20"/>
                <w:szCs w:val="20"/>
              </w:rPr>
              <w:t>计算机科学与技术（A0812）、电子科学与技术(A0809)、信息与通信工程(A0810)、教育技术学（A040110）</w:t>
            </w:r>
          </w:p>
        </w:tc>
      </w:tr>
      <w:tr w:rsidR="001D69CB">
        <w:trPr>
          <w:trHeight w:val="6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小学思想品德教师</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教育学类（思想政治教育方向）/思想政治教育（B0401/B030404）</w:t>
            </w:r>
          </w:p>
        </w:tc>
        <w:tc>
          <w:tcPr>
            <w:tcW w:w="3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教育学（思想政治教育方向）/马克思主义理论（A0401/A0305）</w:t>
            </w:r>
          </w:p>
        </w:tc>
      </w:tr>
      <w:tr w:rsidR="001D69CB">
        <w:trPr>
          <w:trHeight w:val="11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中小学音乐教师</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rPr>
                <w:rFonts w:ascii="仿宋" w:eastAsia="仿宋" w:hAnsi="仿宋"/>
                <w:sz w:val="20"/>
                <w:szCs w:val="20"/>
              </w:rPr>
            </w:pPr>
            <w:r>
              <w:rPr>
                <w:rFonts w:ascii="仿宋" w:eastAsia="仿宋" w:hAnsi="仿宋" w:hint="eastAsia"/>
                <w:sz w:val="20"/>
                <w:szCs w:val="20"/>
              </w:rPr>
              <w:t>教育学类（音乐教育方向）/艺术教育（音乐方向）/音乐学/音乐表演/音乐科技与艺术（</w:t>
            </w:r>
            <w:r>
              <w:rPr>
                <w:rFonts w:ascii="仿宋" w:eastAsia="仿宋" w:hAnsi="仿宋" w:hint="eastAsia"/>
                <w:sz w:val="20"/>
                <w:szCs w:val="20"/>
              </w:rPr>
              <w:br/>
              <w:t>B0401/B040106/B050401/B050403/B050428）</w:t>
            </w:r>
          </w:p>
        </w:tc>
        <w:tc>
          <w:tcPr>
            <w:tcW w:w="3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教育学（音乐教育方向）/音乐学（A040101/A130201）</w:t>
            </w:r>
          </w:p>
        </w:tc>
      </w:tr>
      <w:tr w:rsidR="001D69CB">
        <w:trPr>
          <w:trHeight w:val="6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中小学体育教师</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 xml:space="preserve">教育学类（体育教育方向）/体育学类（B0401/B0403）    </w:t>
            </w:r>
          </w:p>
        </w:tc>
        <w:tc>
          <w:tcPr>
            <w:tcW w:w="3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教育学（体育教育方向）/体育学（A0401/A0403）</w:t>
            </w:r>
          </w:p>
        </w:tc>
      </w:tr>
      <w:tr w:rsidR="001D69CB">
        <w:trPr>
          <w:trHeight w:val="78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中小学美术教师</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教育学类（美术教育方向）/绘画、美术学/艺术教育/艺术设计学/艺术设计/艺术学（艺术相关为美术方向）(B0401/B050404/B050406/B040106/B050407/B050408/B050422)</w:t>
            </w:r>
          </w:p>
        </w:tc>
        <w:tc>
          <w:tcPr>
            <w:tcW w:w="3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美术学/艺术学/设计艺术学（艺术相关均为美术方向）(A130401/A130101/A130501)</w:t>
            </w:r>
          </w:p>
        </w:tc>
      </w:tr>
      <w:tr w:rsidR="001D69CB">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69CB" w:rsidRDefault="007600FD">
            <w:pPr>
              <w:jc w:val="center"/>
              <w:rPr>
                <w:rFonts w:ascii="仿宋" w:eastAsia="仿宋" w:hAnsi="仿宋"/>
                <w:color w:val="000000"/>
                <w:sz w:val="20"/>
                <w:szCs w:val="20"/>
              </w:rPr>
            </w:pPr>
            <w:r>
              <w:rPr>
                <w:rFonts w:ascii="仿宋" w:eastAsia="仿宋" w:hAnsi="仿宋" w:hint="eastAsia"/>
                <w:color w:val="000000"/>
                <w:sz w:val="20"/>
                <w:szCs w:val="20"/>
              </w:rPr>
              <w:t>小学科学教师</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科学教育/理学（B040108/B07）符合物理、生物</w:t>
            </w:r>
            <w:r w:rsidR="00CD00F9">
              <w:rPr>
                <w:rFonts w:ascii="仿宋" w:eastAsia="仿宋" w:hAnsi="仿宋" w:hint="eastAsia"/>
                <w:sz w:val="20"/>
                <w:szCs w:val="20"/>
              </w:rPr>
              <w:t>、化学</w:t>
            </w:r>
            <w:r>
              <w:rPr>
                <w:rFonts w:ascii="仿宋" w:eastAsia="仿宋" w:hAnsi="仿宋" w:hint="eastAsia"/>
                <w:sz w:val="20"/>
                <w:szCs w:val="20"/>
              </w:rPr>
              <w:t>报考条件者</w:t>
            </w:r>
          </w:p>
        </w:tc>
        <w:tc>
          <w:tcPr>
            <w:tcW w:w="3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D69CB" w:rsidRDefault="007600FD">
            <w:pPr>
              <w:jc w:val="center"/>
              <w:rPr>
                <w:rFonts w:ascii="仿宋" w:eastAsia="仿宋" w:hAnsi="仿宋"/>
                <w:sz w:val="20"/>
                <w:szCs w:val="20"/>
              </w:rPr>
            </w:pPr>
            <w:r>
              <w:rPr>
                <w:rFonts w:ascii="仿宋" w:eastAsia="仿宋" w:hAnsi="仿宋" w:hint="eastAsia"/>
                <w:sz w:val="20"/>
                <w:szCs w:val="20"/>
              </w:rPr>
              <w:t>教育学（科学教育方向）/理学（A0401/A07）符合物理、生物</w:t>
            </w:r>
            <w:r w:rsidR="00CD00F9">
              <w:rPr>
                <w:rFonts w:ascii="仿宋" w:eastAsia="仿宋" w:hAnsi="仿宋" w:hint="eastAsia"/>
                <w:sz w:val="20"/>
                <w:szCs w:val="20"/>
              </w:rPr>
              <w:t>、化学</w:t>
            </w:r>
            <w:r>
              <w:rPr>
                <w:rFonts w:ascii="仿宋" w:eastAsia="仿宋" w:hAnsi="仿宋" w:hint="eastAsia"/>
                <w:sz w:val="20"/>
                <w:szCs w:val="20"/>
              </w:rPr>
              <w:t>报考条件者</w:t>
            </w:r>
          </w:p>
        </w:tc>
      </w:tr>
      <w:tr w:rsidR="001D69CB">
        <w:trPr>
          <w:trHeight w:val="345"/>
          <w:jc w:val="center"/>
        </w:trPr>
        <w:tc>
          <w:tcPr>
            <w:tcW w:w="10380" w:type="dxa"/>
            <w:gridSpan w:val="4"/>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1D69CB" w:rsidRDefault="007600FD">
            <w:pPr>
              <w:rPr>
                <w:rFonts w:ascii="仿宋" w:eastAsia="仿宋" w:hAnsi="仿宋"/>
                <w:b/>
                <w:bCs/>
              </w:rPr>
            </w:pPr>
            <w:r>
              <w:rPr>
                <w:rFonts w:ascii="仿宋" w:eastAsia="仿宋" w:hAnsi="仿宋" w:hint="eastAsia"/>
                <w:b/>
                <w:bCs/>
              </w:rPr>
              <w:t>备注：</w:t>
            </w:r>
          </w:p>
        </w:tc>
      </w:tr>
      <w:tr w:rsidR="001D69CB">
        <w:trPr>
          <w:trHeight w:val="885"/>
          <w:jc w:val="center"/>
        </w:trPr>
        <w:tc>
          <w:tcPr>
            <w:tcW w:w="10380" w:type="dxa"/>
            <w:gridSpan w:val="4"/>
            <w:shd w:val="clear" w:color="auto" w:fill="auto"/>
            <w:tcMar>
              <w:top w:w="15" w:type="dxa"/>
              <w:left w:w="15" w:type="dxa"/>
              <w:bottom w:w="0" w:type="dxa"/>
              <w:right w:w="15" w:type="dxa"/>
            </w:tcMar>
            <w:vAlign w:val="center"/>
            <w:hideMark/>
          </w:tcPr>
          <w:p w:rsidR="001D69CB" w:rsidRDefault="007600FD">
            <w:pPr>
              <w:rPr>
                <w:color w:val="000000"/>
                <w:sz w:val="22"/>
                <w:szCs w:val="22"/>
              </w:rPr>
            </w:pPr>
            <w:r>
              <w:rPr>
                <w:rFonts w:hint="eastAsia"/>
                <w:color w:val="000000"/>
                <w:sz w:val="22"/>
                <w:szCs w:val="22"/>
              </w:rPr>
              <w:t>1.报考人员所学专业未列入专业目录（或没有专业代码）的，可选择专业目录中的相近专业报考，但须确保所学专业必修课程与报考职位要求专业的主要课程基本一致，并在资格审核时提供毕业证书、所学专业课程成绩单（须教务处盖章）等佐证材料；</w:t>
            </w:r>
          </w:p>
        </w:tc>
      </w:tr>
      <w:tr w:rsidR="001D69CB">
        <w:trPr>
          <w:trHeight w:val="360"/>
          <w:jc w:val="center"/>
        </w:trPr>
        <w:tc>
          <w:tcPr>
            <w:tcW w:w="0" w:type="auto"/>
            <w:gridSpan w:val="4"/>
            <w:shd w:val="clear" w:color="auto" w:fill="auto"/>
            <w:noWrap/>
            <w:tcMar>
              <w:top w:w="15" w:type="dxa"/>
              <w:left w:w="15" w:type="dxa"/>
              <w:bottom w:w="0" w:type="dxa"/>
              <w:right w:w="15" w:type="dxa"/>
            </w:tcMar>
            <w:vAlign w:val="center"/>
            <w:hideMark/>
          </w:tcPr>
          <w:p w:rsidR="001D69CB" w:rsidRDefault="007600FD">
            <w:pPr>
              <w:rPr>
                <w:color w:val="000000"/>
                <w:sz w:val="22"/>
                <w:szCs w:val="22"/>
              </w:rPr>
            </w:pPr>
            <w:r>
              <w:rPr>
                <w:rFonts w:hint="eastAsia"/>
                <w:color w:val="000000"/>
                <w:sz w:val="22"/>
                <w:szCs w:val="22"/>
              </w:rPr>
              <w:t>2.教师资格证对应专业也视为符合条件；</w:t>
            </w:r>
          </w:p>
        </w:tc>
      </w:tr>
      <w:tr w:rsidR="001D69CB">
        <w:trPr>
          <w:trHeight w:val="300"/>
          <w:jc w:val="center"/>
        </w:trPr>
        <w:tc>
          <w:tcPr>
            <w:tcW w:w="0" w:type="auto"/>
            <w:gridSpan w:val="4"/>
            <w:shd w:val="clear" w:color="auto" w:fill="auto"/>
            <w:noWrap/>
            <w:tcMar>
              <w:top w:w="15" w:type="dxa"/>
              <w:left w:w="15" w:type="dxa"/>
              <w:bottom w:w="0" w:type="dxa"/>
              <w:right w:w="15" w:type="dxa"/>
            </w:tcMar>
            <w:vAlign w:val="center"/>
            <w:hideMark/>
          </w:tcPr>
          <w:p w:rsidR="001D69CB" w:rsidRDefault="007600FD">
            <w:pPr>
              <w:rPr>
                <w:color w:val="000000"/>
                <w:sz w:val="22"/>
                <w:szCs w:val="22"/>
              </w:rPr>
            </w:pPr>
            <w:r>
              <w:rPr>
                <w:rFonts w:hint="eastAsia"/>
                <w:color w:val="000000"/>
                <w:sz w:val="22"/>
                <w:szCs w:val="22"/>
              </w:rPr>
              <w:t>3.大专学历以毕业证或教师资格证为准。</w:t>
            </w:r>
          </w:p>
        </w:tc>
      </w:tr>
      <w:tr w:rsidR="001D69CB">
        <w:trPr>
          <w:jc w:val="center"/>
          <w:hidden/>
        </w:trPr>
        <w:tc>
          <w:tcPr>
            <w:tcW w:w="640" w:type="dxa"/>
            <w:vAlign w:val="center"/>
            <w:hideMark/>
          </w:tcPr>
          <w:p w:rsidR="001D69CB" w:rsidRDefault="001D69CB">
            <w:pPr>
              <w:rPr>
                <w:vanish/>
              </w:rPr>
            </w:pPr>
          </w:p>
        </w:tc>
        <w:tc>
          <w:tcPr>
            <w:tcW w:w="1840" w:type="dxa"/>
            <w:vAlign w:val="center"/>
            <w:hideMark/>
          </w:tcPr>
          <w:p w:rsidR="001D69CB" w:rsidRDefault="001D69CB">
            <w:pPr>
              <w:rPr>
                <w:vanish/>
              </w:rPr>
            </w:pPr>
          </w:p>
        </w:tc>
        <w:tc>
          <w:tcPr>
            <w:tcW w:w="4360" w:type="dxa"/>
            <w:vAlign w:val="center"/>
            <w:hideMark/>
          </w:tcPr>
          <w:p w:rsidR="001D69CB" w:rsidRDefault="001D69CB">
            <w:pPr>
              <w:rPr>
                <w:vanish/>
              </w:rPr>
            </w:pPr>
          </w:p>
        </w:tc>
        <w:tc>
          <w:tcPr>
            <w:tcW w:w="3540" w:type="dxa"/>
            <w:vAlign w:val="center"/>
            <w:hideMark/>
          </w:tcPr>
          <w:p w:rsidR="001D69CB" w:rsidRDefault="001D69CB">
            <w:pPr>
              <w:rPr>
                <w:vanish/>
              </w:rPr>
            </w:pPr>
          </w:p>
        </w:tc>
      </w:tr>
    </w:tbl>
    <w:p w:rsidR="007600FD" w:rsidRDefault="007600FD"/>
    <w:sectPr w:rsidR="007600FD" w:rsidSect="001D69CB">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122" w:rsidRDefault="00206122" w:rsidP="00346D96">
      <w:r>
        <w:separator/>
      </w:r>
    </w:p>
  </w:endnote>
  <w:endnote w:type="continuationSeparator" w:id="0">
    <w:p w:rsidR="00206122" w:rsidRDefault="00206122" w:rsidP="00346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122" w:rsidRDefault="00206122" w:rsidP="00346D96">
      <w:r>
        <w:separator/>
      </w:r>
    </w:p>
  </w:footnote>
  <w:footnote w:type="continuationSeparator" w:id="0">
    <w:p w:rsidR="00206122" w:rsidRDefault="00206122" w:rsidP="00346D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defaultTabStop w:val="42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346D96"/>
    <w:rsid w:val="001D69CB"/>
    <w:rsid w:val="00206122"/>
    <w:rsid w:val="00346D96"/>
    <w:rsid w:val="007600FD"/>
    <w:rsid w:val="00CD00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CB"/>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25735">
    <w:name w:val="font525735"/>
    <w:basedOn w:val="a"/>
    <w:rsid w:val="001D69CB"/>
    <w:pPr>
      <w:spacing w:before="100" w:beforeAutospacing="1" w:after="100" w:afterAutospacing="1"/>
    </w:pPr>
    <w:rPr>
      <w:sz w:val="18"/>
      <w:szCs w:val="18"/>
    </w:rPr>
  </w:style>
  <w:style w:type="paragraph" w:customStyle="1" w:styleId="font625735">
    <w:name w:val="font625735"/>
    <w:basedOn w:val="a"/>
    <w:rsid w:val="001D69CB"/>
    <w:pPr>
      <w:spacing w:before="100" w:beforeAutospacing="1" w:after="100" w:afterAutospacing="1"/>
    </w:pPr>
    <w:rPr>
      <w:sz w:val="18"/>
      <w:szCs w:val="18"/>
    </w:rPr>
  </w:style>
  <w:style w:type="paragraph" w:customStyle="1" w:styleId="font725735">
    <w:name w:val="font725735"/>
    <w:basedOn w:val="a"/>
    <w:rsid w:val="001D69CB"/>
    <w:pPr>
      <w:spacing w:before="100" w:beforeAutospacing="1" w:after="100" w:afterAutospacing="1"/>
    </w:pPr>
    <w:rPr>
      <w:color w:val="000000"/>
      <w:sz w:val="22"/>
      <w:szCs w:val="22"/>
    </w:rPr>
  </w:style>
  <w:style w:type="paragraph" w:customStyle="1" w:styleId="xl1525735">
    <w:name w:val="xl1525735"/>
    <w:basedOn w:val="a"/>
    <w:rsid w:val="001D69CB"/>
    <w:pPr>
      <w:spacing w:before="100" w:beforeAutospacing="1" w:after="100" w:afterAutospacing="1"/>
      <w:textAlignment w:val="center"/>
    </w:pPr>
    <w:rPr>
      <w:color w:val="000000"/>
      <w:sz w:val="22"/>
      <w:szCs w:val="22"/>
    </w:rPr>
  </w:style>
  <w:style w:type="paragraph" w:customStyle="1" w:styleId="xl6525735">
    <w:name w:val="xl6525735"/>
    <w:basedOn w:val="a"/>
    <w:rsid w:val="001D69CB"/>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8"/>
      <w:szCs w:val="28"/>
    </w:rPr>
  </w:style>
  <w:style w:type="paragraph" w:customStyle="1" w:styleId="xl6625735">
    <w:name w:val="xl6625735"/>
    <w:basedOn w:val="a"/>
    <w:rsid w:val="001D69CB"/>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 w:eastAsia="仿宋" w:hAnsi="仿宋"/>
      <w:color w:val="000000"/>
      <w:sz w:val="20"/>
      <w:szCs w:val="20"/>
    </w:rPr>
  </w:style>
  <w:style w:type="paragraph" w:customStyle="1" w:styleId="xl6725735">
    <w:name w:val="xl6725735"/>
    <w:basedOn w:val="a"/>
    <w:rsid w:val="001D69CB"/>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 w:eastAsia="仿宋" w:hAnsi="仿宋"/>
      <w:sz w:val="20"/>
      <w:szCs w:val="20"/>
    </w:rPr>
  </w:style>
  <w:style w:type="paragraph" w:customStyle="1" w:styleId="xl6825735">
    <w:name w:val="xl6825735"/>
    <w:basedOn w:val="a"/>
    <w:rsid w:val="001D69CB"/>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 w:eastAsia="仿宋" w:hAnsi="仿宋"/>
      <w:sz w:val="20"/>
      <w:szCs w:val="20"/>
    </w:rPr>
  </w:style>
  <w:style w:type="paragraph" w:customStyle="1" w:styleId="xl6925735">
    <w:name w:val="xl6925735"/>
    <w:basedOn w:val="a"/>
    <w:rsid w:val="001D69CB"/>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 w:eastAsia="仿宋" w:hAnsi="仿宋"/>
      <w:sz w:val="20"/>
      <w:szCs w:val="20"/>
    </w:rPr>
  </w:style>
  <w:style w:type="paragraph" w:customStyle="1" w:styleId="xl7025735">
    <w:name w:val="xl7025735"/>
    <w:basedOn w:val="a"/>
    <w:rsid w:val="001D69CB"/>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 w:eastAsia="仿宋" w:hAnsi="仿宋"/>
      <w:color w:val="000000"/>
      <w:sz w:val="20"/>
      <w:szCs w:val="20"/>
    </w:rPr>
  </w:style>
  <w:style w:type="paragraph" w:customStyle="1" w:styleId="xl7125735">
    <w:name w:val="xl7125735"/>
    <w:basedOn w:val="a"/>
    <w:rsid w:val="001D69CB"/>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 w:eastAsia="仿宋" w:hAnsi="仿宋"/>
      <w:sz w:val="20"/>
      <w:szCs w:val="20"/>
    </w:rPr>
  </w:style>
  <w:style w:type="paragraph" w:customStyle="1" w:styleId="xl7225735">
    <w:name w:val="xl7225735"/>
    <w:basedOn w:val="a"/>
    <w:rsid w:val="001D69CB"/>
    <w:pPr>
      <w:spacing w:before="100" w:beforeAutospacing="1" w:after="100" w:afterAutospacing="1"/>
      <w:jc w:val="center"/>
      <w:textAlignment w:val="center"/>
    </w:pPr>
    <w:rPr>
      <w:color w:val="000000"/>
      <w:sz w:val="32"/>
      <w:szCs w:val="32"/>
    </w:rPr>
  </w:style>
  <w:style w:type="paragraph" w:customStyle="1" w:styleId="xl7325735">
    <w:name w:val="xl7325735"/>
    <w:basedOn w:val="a"/>
    <w:rsid w:val="001D69CB"/>
    <w:pPr>
      <w:spacing w:before="100" w:beforeAutospacing="1" w:after="100" w:afterAutospacing="1"/>
      <w:textAlignment w:val="center"/>
    </w:pPr>
    <w:rPr>
      <w:color w:val="000000"/>
      <w:sz w:val="22"/>
      <w:szCs w:val="22"/>
    </w:rPr>
  </w:style>
  <w:style w:type="paragraph" w:customStyle="1" w:styleId="xl7425735">
    <w:name w:val="xl7425735"/>
    <w:basedOn w:val="a"/>
    <w:rsid w:val="001D69CB"/>
    <w:pPr>
      <w:pBdr>
        <w:top w:val="single" w:sz="4" w:space="1" w:color="auto"/>
      </w:pBdr>
      <w:spacing w:before="100" w:beforeAutospacing="1" w:after="100" w:afterAutospacing="1"/>
      <w:textAlignment w:val="center"/>
    </w:pPr>
    <w:rPr>
      <w:rFonts w:ascii="仿宋" w:eastAsia="仿宋" w:hAnsi="仿宋"/>
      <w:b/>
      <w:bCs/>
    </w:rPr>
  </w:style>
  <w:style w:type="paragraph" w:customStyle="1" w:styleId="xl7525735">
    <w:name w:val="xl7525735"/>
    <w:basedOn w:val="a"/>
    <w:rsid w:val="001D69CB"/>
    <w:pPr>
      <w:pBdr>
        <w:top w:val="single" w:sz="4" w:space="1" w:color="auto"/>
      </w:pBdr>
      <w:spacing w:before="100" w:beforeAutospacing="1" w:after="100" w:afterAutospacing="1"/>
      <w:textAlignment w:val="center"/>
    </w:pPr>
    <w:rPr>
      <w:sz w:val="22"/>
      <w:szCs w:val="22"/>
    </w:rPr>
  </w:style>
  <w:style w:type="paragraph" w:customStyle="1" w:styleId="xl7625735">
    <w:name w:val="xl7625735"/>
    <w:basedOn w:val="a"/>
    <w:rsid w:val="001D69CB"/>
    <w:pPr>
      <w:spacing w:before="100" w:beforeAutospacing="1" w:after="100" w:afterAutospacing="1"/>
      <w:jc w:val="center"/>
      <w:textAlignment w:val="center"/>
    </w:pPr>
    <w:rPr>
      <w:rFonts w:ascii="Courier New" w:hAnsi="Courier New"/>
      <w:color w:val="000000"/>
      <w:sz w:val="40"/>
      <w:szCs w:val="40"/>
    </w:rPr>
  </w:style>
  <w:style w:type="paragraph" w:customStyle="1" w:styleId="xl7725735">
    <w:name w:val="xl7725735"/>
    <w:basedOn w:val="a"/>
    <w:rsid w:val="001D69CB"/>
    <w:pPr>
      <w:pBdr>
        <w:top w:val="single" w:sz="4" w:space="1" w:color="auto"/>
        <w:left w:val="single" w:sz="4" w:space="1" w:color="auto"/>
        <w:bottom w:val="single" w:sz="4" w:space="0" w:color="auto"/>
      </w:pBdr>
      <w:spacing w:before="100" w:beforeAutospacing="1" w:after="100" w:afterAutospacing="1"/>
      <w:jc w:val="center"/>
      <w:textAlignment w:val="center"/>
    </w:pPr>
    <w:rPr>
      <w:b/>
      <w:bCs/>
      <w:sz w:val="28"/>
      <w:szCs w:val="28"/>
    </w:rPr>
  </w:style>
  <w:style w:type="paragraph" w:customStyle="1" w:styleId="xl7825735">
    <w:name w:val="xl7825735"/>
    <w:basedOn w:val="a"/>
    <w:rsid w:val="001D69CB"/>
    <w:pPr>
      <w:pBdr>
        <w:top w:val="single" w:sz="4" w:space="1" w:color="auto"/>
        <w:bottom w:val="single" w:sz="4" w:space="0" w:color="auto"/>
        <w:right w:val="single" w:sz="4" w:space="1" w:color="auto"/>
      </w:pBdr>
      <w:spacing w:before="100" w:beforeAutospacing="1" w:after="100" w:afterAutospacing="1"/>
      <w:jc w:val="center"/>
      <w:textAlignment w:val="center"/>
    </w:pPr>
    <w:rPr>
      <w:b/>
      <w:bCs/>
      <w:sz w:val="28"/>
      <w:szCs w:val="28"/>
    </w:rPr>
  </w:style>
  <w:style w:type="paragraph" w:customStyle="1" w:styleId="xl7925735">
    <w:name w:val="xl7925735"/>
    <w:basedOn w:val="a"/>
    <w:rsid w:val="001D69CB"/>
    <w:pPr>
      <w:spacing w:before="100" w:beforeAutospacing="1" w:after="100" w:afterAutospacing="1"/>
      <w:textAlignment w:val="center"/>
    </w:pPr>
    <w:rPr>
      <w:color w:val="000000"/>
      <w:sz w:val="22"/>
      <w:szCs w:val="22"/>
    </w:rPr>
  </w:style>
  <w:style w:type="paragraph" w:styleId="a3">
    <w:name w:val="header"/>
    <w:basedOn w:val="a"/>
    <w:link w:val="Char"/>
    <w:uiPriority w:val="99"/>
    <w:semiHidden/>
    <w:unhideWhenUsed/>
    <w:rsid w:val="00346D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6D96"/>
    <w:rPr>
      <w:rFonts w:ascii="宋体" w:eastAsia="宋体" w:hAnsi="宋体" w:cs="宋体"/>
      <w:sz w:val="18"/>
      <w:szCs w:val="18"/>
    </w:rPr>
  </w:style>
  <w:style w:type="paragraph" w:styleId="a4">
    <w:name w:val="footer"/>
    <w:basedOn w:val="a"/>
    <w:link w:val="Char0"/>
    <w:uiPriority w:val="99"/>
    <w:semiHidden/>
    <w:unhideWhenUsed/>
    <w:rsid w:val="00346D96"/>
    <w:pPr>
      <w:tabs>
        <w:tab w:val="center" w:pos="4153"/>
        <w:tab w:val="right" w:pos="8306"/>
      </w:tabs>
      <w:snapToGrid w:val="0"/>
    </w:pPr>
    <w:rPr>
      <w:sz w:val="18"/>
      <w:szCs w:val="18"/>
    </w:rPr>
  </w:style>
  <w:style w:type="character" w:customStyle="1" w:styleId="Char0">
    <w:name w:val="页脚 Char"/>
    <w:basedOn w:val="a0"/>
    <w:link w:val="a4"/>
    <w:uiPriority w:val="99"/>
    <w:semiHidden/>
    <w:rsid w:val="00346D96"/>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2018-09-03T11:11:00Z</dcterms:created>
  <dcterms:modified xsi:type="dcterms:W3CDTF">2018-09-03T13:26:00Z</dcterms:modified>
</cp:coreProperties>
</file>